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0460F88A" w:rsidR="00E90E49" w:rsidRPr="00CE0424" w:rsidRDefault="00E90E49" w:rsidP="00E35559">
      <w:pPr>
        <w:pStyle w:val="3GPPHeader"/>
        <w:spacing w:after="60"/>
        <w:rPr>
          <w:sz w:val="32"/>
          <w:szCs w:val="32"/>
          <w:highlight w:val="yellow"/>
        </w:rPr>
      </w:pPr>
      <w:r w:rsidRPr="00CE0424">
        <w:t>3GPP TSG-RAN WG</w:t>
      </w:r>
      <w:r w:rsidR="00B945B9">
        <w:t>2</w:t>
      </w:r>
      <w:r w:rsidRPr="00CE0424">
        <w:t xml:space="preserve"> #</w:t>
      </w:r>
      <w:r w:rsidR="00B945B9">
        <w:t>104</w:t>
      </w:r>
      <w:r w:rsidRPr="00CE0424">
        <w:tab/>
      </w:r>
      <w:bookmarkStart w:id="0" w:name="_GoBack"/>
      <w:bookmarkEnd w:id="0"/>
      <w:r w:rsidR="00091557" w:rsidRPr="00CE0424">
        <w:rPr>
          <w:sz w:val="32"/>
          <w:szCs w:val="32"/>
        </w:rPr>
        <w:t>R2-</w:t>
      </w:r>
      <w:r w:rsidR="0005667E" w:rsidRPr="0005667E">
        <w:rPr>
          <w:sz w:val="32"/>
          <w:szCs w:val="32"/>
        </w:rPr>
        <w:t>1816634</w:t>
      </w:r>
    </w:p>
    <w:p w14:paraId="59A8200A" w14:textId="33023566" w:rsidR="00E90E49" w:rsidRPr="0005667E" w:rsidRDefault="00B945B9" w:rsidP="00311702">
      <w:pPr>
        <w:pStyle w:val="3GPPHeader"/>
        <w:rPr>
          <w:i/>
          <w:lang w:val="en-US"/>
        </w:rPr>
      </w:pPr>
      <w:r w:rsidRPr="0005667E">
        <w:rPr>
          <w:lang w:val="en-US"/>
        </w:rPr>
        <w:t>Spokane</w:t>
      </w:r>
      <w:r w:rsidR="0027144F" w:rsidRPr="0005667E">
        <w:rPr>
          <w:lang w:val="en-US"/>
        </w:rPr>
        <w:t xml:space="preserve">, </w:t>
      </w:r>
      <w:r w:rsidRPr="0005667E">
        <w:rPr>
          <w:lang w:val="en-US"/>
        </w:rPr>
        <w:t>USA</w:t>
      </w:r>
      <w:r w:rsidR="0027144F" w:rsidRPr="0005667E">
        <w:rPr>
          <w:lang w:val="en-US"/>
        </w:rPr>
        <w:t xml:space="preserve">, </w:t>
      </w:r>
      <w:r w:rsidRPr="0005667E">
        <w:rPr>
          <w:lang w:val="en-US"/>
        </w:rPr>
        <w:t>November 12</w:t>
      </w:r>
      <w:r w:rsidR="001D53E7" w:rsidRPr="0005667E">
        <w:rPr>
          <w:lang w:val="en-US"/>
        </w:rPr>
        <w:t xml:space="preserve">th – </w:t>
      </w:r>
      <w:r w:rsidRPr="0005667E">
        <w:rPr>
          <w:lang w:val="en-US"/>
        </w:rPr>
        <w:t>16</w:t>
      </w:r>
      <w:r w:rsidR="001D53E7" w:rsidRPr="0005667E">
        <w:rPr>
          <w:lang w:val="en-US"/>
        </w:rPr>
        <w:t>th</w:t>
      </w:r>
      <w:r w:rsidR="00C37CB2" w:rsidRPr="0005667E">
        <w:rPr>
          <w:lang w:val="en-US"/>
        </w:rPr>
        <w:t xml:space="preserve"> </w:t>
      </w:r>
      <w:r w:rsidR="0027144F" w:rsidRPr="0005667E">
        <w:rPr>
          <w:lang w:val="en-US"/>
        </w:rPr>
        <w:t>20</w:t>
      </w:r>
      <w:r w:rsidR="005F3025" w:rsidRPr="0005667E">
        <w:rPr>
          <w:lang w:val="en-US"/>
        </w:rPr>
        <w:t>1</w:t>
      </w:r>
      <w:r w:rsidR="001D53E7" w:rsidRPr="0005667E">
        <w:rPr>
          <w:lang w:val="en-US"/>
        </w:rPr>
        <w:t>8</w:t>
      </w:r>
      <w:r w:rsidR="0019556A" w:rsidRPr="0005667E">
        <w:rPr>
          <w:lang w:val="en-US"/>
        </w:rPr>
        <w:tab/>
      </w:r>
      <w:r w:rsidR="0019556A" w:rsidRPr="0005667E">
        <w:rPr>
          <w:i/>
          <w:lang w:val="en-US"/>
        </w:rPr>
        <w:t>revision of R2-1814340</w:t>
      </w:r>
    </w:p>
    <w:p w14:paraId="21E1F86D" w14:textId="77777777" w:rsidR="00E90E49" w:rsidRPr="0005667E" w:rsidRDefault="00E90E49" w:rsidP="00357380">
      <w:pPr>
        <w:pStyle w:val="3GPPHeader"/>
        <w:rPr>
          <w:lang w:val="en-US"/>
        </w:rPr>
      </w:pPr>
    </w:p>
    <w:p w14:paraId="75042A70" w14:textId="7C8E560A" w:rsidR="00E90E49" w:rsidRPr="0005667E" w:rsidRDefault="00E90E49" w:rsidP="00311702">
      <w:pPr>
        <w:pStyle w:val="3GPPHeader"/>
        <w:rPr>
          <w:sz w:val="22"/>
          <w:lang w:val="en-US"/>
        </w:rPr>
      </w:pPr>
      <w:r w:rsidRPr="0005667E">
        <w:rPr>
          <w:sz w:val="22"/>
          <w:lang w:val="en-US"/>
        </w:rPr>
        <w:t>Agenda Item:</w:t>
      </w:r>
      <w:r w:rsidRPr="0005667E">
        <w:rPr>
          <w:sz w:val="22"/>
          <w:lang w:val="en-US"/>
        </w:rPr>
        <w:tab/>
      </w:r>
      <w:r w:rsidR="00B945B9" w:rsidRPr="0005667E">
        <w:rPr>
          <w:sz w:val="22"/>
          <w:lang w:val="en-US"/>
        </w:rPr>
        <w:t>12.1.2</w:t>
      </w:r>
    </w:p>
    <w:p w14:paraId="3BDCF769" w14:textId="77777777" w:rsidR="00E90E49" w:rsidRPr="0005667E" w:rsidRDefault="003D3C45" w:rsidP="00F64C2B">
      <w:pPr>
        <w:pStyle w:val="3GPPHeader"/>
        <w:rPr>
          <w:sz w:val="22"/>
          <w:lang w:val="en-US"/>
        </w:rPr>
      </w:pPr>
      <w:r w:rsidRPr="0005667E">
        <w:rPr>
          <w:sz w:val="22"/>
          <w:lang w:val="en-US"/>
        </w:rPr>
        <w:t>Source:</w:t>
      </w:r>
      <w:r w:rsidR="00E90E49" w:rsidRPr="0005667E">
        <w:rPr>
          <w:sz w:val="22"/>
          <w:lang w:val="en-US"/>
        </w:rPr>
        <w:tab/>
      </w:r>
      <w:r w:rsidR="00F64C2B" w:rsidRPr="0005667E">
        <w:rPr>
          <w:sz w:val="22"/>
          <w:lang w:val="en-US"/>
        </w:rPr>
        <w:t>Ericsson</w:t>
      </w:r>
    </w:p>
    <w:p w14:paraId="270C4034" w14:textId="4945BF7E" w:rsidR="00E90E49" w:rsidRPr="0005667E" w:rsidRDefault="003D3C45" w:rsidP="00311702">
      <w:pPr>
        <w:pStyle w:val="3GPPHeader"/>
        <w:rPr>
          <w:sz w:val="22"/>
          <w:lang w:val="en-US"/>
        </w:rPr>
      </w:pPr>
      <w:r w:rsidRPr="0005667E">
        <w:rPr>
          <w:sz w:val="22"/>
          <w:lang w:val="en-US"/>
        </w:rPr>
        <w:t>Title:</w:t>
      </w:r>
      <w:r w:rsidR="00E90E49" w:rsidRPr="0005667E">
        <w:rPr>
          <w:sz w:val="22"/>
          <w:lang w:val="en-US"/>
        </w:rPr>
        <w:tab/>
      </w:r>
      <w:r w:rsidR="00B945B9" w:rsidRPr="0005667E">
        <w:rPr>
          <w:sz w:val="22"/>
          <w:lang w:val="en-US"/>
        </w:rPr>
        <w:t>Mobile-terminated early data transmission</w:t>
      </w:r>
    </w:p>
    <w:p w14:paraId="1C07C231" w14:textId="77777777" w:rsidR="00E90E49" w:rsidRPr="0005667E" w:rsidRDefault="00E90E49" w:rsidP="00D546FF">
      <w:pPr>
        <w:pStyle w:val="3GPPHeader"/>
        <w:rPr>
          <w:sz w:val="22"/>
          <w:lang w:val="en-US"/>
        </w:rPr>
      </w:pPr>
      <w:r w:rsidRPr="0005667E">
        <w:rPr>
          <w:sz w:val="22"/>
          <w:lang w:val="en-US"/>
        </w:rPr>
        <w:t>Document for:</w:t>
      </w:r>
      <w:r w:rsidRPr="0005667E">
        <w:rPr>
          <w:sz w:val="22"/>
          <w:lang w:val="en-US"/>
        </w:rPr>
        <w:tab/>
        <w:t>Discussion, Decision</w:t>
      </w:r>
    </w:p>
    <w:p w14:paraId="70B18739" w14:textId="77777777" w:rsidR="00E90E49" w:rsidRPr="0005667E" w:rsidRDefault="00E90E49" w:rsidP="00E90E49">
      <w:pPr>
        <w:rPr>
          <w:lang w:val="en-US"/>
        </w:rPr>
      </w:pPr>
    </w:p>
    <w:p w14:paraId="659D831A" w14:textId="77777777" w:rsidR="00E90E49" w:rsidRPr="00CE0424" w:rsidRDefault="00230D18" w:rsidP="00CE0424">
      <w:pPr>
        <w:pStyle w:val="Heading1"/>
      </w:pPr>
      <w:r>
        <w:t>1</w:t>
      </w:r>
      <w:r>
        <w:tab/>
      </w:r>
      <w:r w:rsidR="00E90E49" w:rsidRPr="00CE0424">
        <w:t>Introduction</w:t>
      </w:r>
    </w:p>
    <w:p w14:paraId="27B17B67" w14:textId="60806007" w:rsidR="00EA13FC" w:rsidRPr="005B639A" w:rsidRDefault="00EA13FC" w:rsidP="00EA13FC">
      <w:pPr>
        <w:pStyle w:val="BodyText"/>
        <w:rPr>
          <w:sz w:val="20"/>
          <w:szCs w:val="20"/>
          <w:lang w:val="en-US"/>
        </w:rPr>
      </w:pPr>
      <w:r w:rsidRPr="005B639A">
        <w:rPr>
          <w:sz w:val="20"/>
          <w:szCs w:val="20"/>
          <w:lang w:val="en-US"/>
        </w:rPr>
        <w:t xml:space="preserve">In the Rel-16 WIDs for both LTE-M </w:t>
      </w:r>
      <w:r w:rsidR="0095638D" w:rsidRPr="005B639A">
        <w:rPr>
          <w:sz w:val="20"/>
          <w:szCs w:val="20"/>
        </w:rPr>
        <w:fldChar w:fldCharType="begin"/>
      </w:r>
      <w:r w:rsidR="0095638D" w:rsidRPr="005B639A">
        <w:rPr>
          <w:sz w:val="20"/>
          <w:szCs w:val="20"/>
          <w:lang w:val="en-US"/>
        </w:rPr>
        <w:instrText xml:space="preserve"> REF _Ref527643683 \r \h </w:instrText>
      </w:r>
      <w:r w:rsidR="0095638D" w:rsidRPr="005B639A">
        <w:rPr>
          <w:sz w:val="20"/>
          <w:szCs w:val="20"/>
        </w:rPr>
      </w:r>
      <w:r w:rsidR="005B639A" w:rsidRPr="005B639A">
        <w:rPr>
          <w:sz w:val="20"/>
          <w:szCs w:val="20"/>
          <w:lang w:val="en-US"/>
        </w:rPr>
        <w:instrText xml:space="preserve"> \* MERGEFORMAT </w:instrText>
      </w:r>
      <w:r w:rsidR="0095638D" w:rsidRPr="005B639A">
        <w:rPr>
          <w:sz w:val="20"/>
          <w:szCs w:val="20"/>
        </w:rPr>
        <w:fldChar w:fldCharType="separate"/>
      </w:r>
      <w:r w:rsidR="000A7DE0">
        <w:rPr>
          <w:sz w:val="20"/>
          <w:szCs w:val="20"/>
          <w:lang w:val="en-US"/>
        </w:rPr>
        <w:t>[1]</w:t>
      </w:r>
      <w:r w:rsidR="0095638D" w:rsidRPr="005B639A">
        <w:rPr>
          <w:sz w:val="20"/>
          <w:szCs w:val="20"/>
        </w:rPr>
        <w:fldChar w:fldCharType="end"/>
      </w:r>
      <w:r w:rsidR="0095638D" w:rsidRPr="005B639A">
        <w:rPr>
          <w:sz w:val="20"/>
          <w:szCs w:val="20"/>
          <w:lang w:val="en-US"/>
        </w:rPr>
        <w:t xml:space="preserve"> </w:t>
      </w:r>
      <w:r w:rsidRPr="005B639A">
        <w:rPr>
          <w:sz w:val="20"/>
          <w:szCs w:val="20"/>
          <w:lang w:val="en-US"/>
        </w:rPr>
        <w:t>and NB-IoT</w:t>
      </w:r>
      <w:r w:rsidR="0095638D" w:rsidRPr="005B639A">
        <w:rPr>
          <w:sz w:val="20"/>
          <w:szCs w:val="20"/>
          <w:lang w:val="en-US"/>
        </w:rPr>
        <w:t xml:space="preserve"> </w:t>
      </w:r>
      <w:r w:rsidR="0095638D" w:rsidRPr="005B639A">
        <w:rPr>
          <w:sz w:val="20"/>
          <w:szCs w:val="20"/>
        </w:rPr>
        <w:fldChar w:fldCharType="begin"/>
      </w:r>
      <w:r w:rsidR="0095638D" w:rsidRPr="005B639A">
        <w:rPr>
          <w:sz w:val="20"/>
          <w:szCs w:val="20"/>
          <w:lang w:val="en-US"/>
        </w:rPr>
        <w:instrText xml:space="preserve"> REF _Ref527643692 \r \h </w:instrText>
      </w:r>
      <w:r w:rsidR="0095638D" w:rsidRPr="005B639A">
        <w:rPr>
          <w:sz w:val="20"/>
          <w:szCs w:val="20"/>
        </w:rPr>
      </w:r>
      <w:r w:rsidR="005B639A" w:rsidRPr="005B639A">
        <w:rPr>
          <w:sz w:val="20"/>
          <w:szCs w:val="20"/>
          <w:lang w:val="en-US"/>
        </w:rPr>
        <w:instrText xml:space="preserve"> \* MERGEFORMAT </w:instrText>
      </w:r>
      <w:r w:rsidR="0095638D" w:rsidRPr="005B639A">
        <w:rPr>
          <w:sz w:val="20"/>
          <w:szCs w:val="20"/>
        </w:rPr>
        <w:fldChar w:fldCharType="separate"/>
      </w:r>
      <w:r w:rsidR="000A7DE0">
        <w:rPr>
          <w:sz w:val="20"/>
          <w:szCs w:val="20"/>
          <w:lang w:val="en-US"/>
        </w:rPr>
        <w:t>[2]</w:t>
      </w:r>
      <w:r w:rsidR="0095638D" w:rsidRPr="005B639A">
        <w:rPr>
          <w:sz w:val="20"/>
          <w:szCs w:val="20"/>
        </w:rPr>
        <w:fldChar w:fldCharType="end"/>
      </w:r>
      <w:r w:rsidRPr="005B639A">
        <w:rPr>
          <w:sz w:val="20"/>
          <w:szCs w:val="20"/>
          <w:lang w:val="en-US"/>
        </w:rPr>
        <w:t>, one of the objectives is to specify support for MT EDT:</w:t>
      </w:r>
    </w:p>
    <w:p w14:paraId="18FDCB78" w14:textId="77777777" w:rsidR="00EA13FC" w:rsidRPr="005B639A" w:rsidRDefault="00EA13FC" w:rsidP="00EA13FC">
      <w:pPr>
        <w:pStyle w:val="BodyText"/>
        <w:rPr>
          <w:sz w:val="20"/>
          <w:szCs w:val="20"/>
          <w:lang w:val="en-US"/>
        </w:rPr>
      </w:pPr>
      <w:r w:rsidRPr="005B639A">
        <w:rPr>
          <w:sz w:val="20"/>
          <w:szCs w:val="20"/>
          <w:lang w:val="en-US"/>
        </w:rPr>
        <w:t>Improved DL transmission efficiency and/or UE power consumption:</w:t>
      </w:r>
    </w:p>
    <w:p w14:paraId="7840E3F7" w14:textId="3DAB0D1F" w:rsidR="00EA13FC" w:rsidRPr="005B639A" w:rsidRDefault="00EA13FC" w:rsidP="003C62C9">
      <w:pPr>
        <w:pStyle w:val="BodyText"/>
        <w:numPr>
          <w:ilvl w:val="0"/>
          <w:numId w:val="24"/>
        </w:numPr>
        <w:rPr>
          <w:sz w:val="20"/>
          <w:szCs w:val="20"/>
          <w:lang w:val="en-US"/>
        </w:rPr>
      </w:pPr>
      <w:r w:rsidRPr="005B639A">
        <w:rPr>
          <w:sz w:val="20"/>
          <w:szCs w:val="20"/>
          <w:lang w:val="en-US"/>
        </w:rPr>
        <w:t>Specify support for mobile-terminated (MT) early data transmission (EDT) [RAN2, RAN3]</w:t>
      </w:r>
    </w:p>
    <w:p w14:paraId="71348337" w14:textId="2DC04F34" w:rsidR="003C62C9" w:rsidRPr="005B639A" w:rsidRDefault="003C62C9" w:rsidP="00EA13FC">
      <w:pPr>
        <w:pStyle w:val="BodyText"/>
        <w:rPr>
          <w:sz w:val="20"/>
          <w:szCs w:val="20"/>
          <w:lang w:val="en-US"/>
        </w:rPr>
      </w:pPr>
      <w:r w:rsidRPr="005B639A">
        <w:rPr>
          <w:sz w:val="20"/>
          <w:szCs w:val="20"/>
          <w:lang w:val="en-US"/>
        </w:rPr>
        <w:t>MT EDT was discussed in recent RAN2#103bis meetin</w:t>
      </w:r>
      <w:r w:rsidR="0095638D" w:rsidRPr="005B639A">
        <w:rPr>
          <w:sz w:val="20"/>
          <w:szCs w:val="20"/>
          <w:lang w:val="en-US"/>
        </w:rPr>
        <w:t xml:space="preserve">g with following agreements </w:t>
      </w:r>
      <w:r w:rsidR="0095638D" w:rsidRPr="005B639A">
        <w:rPr>
          <w:sz w:val="20"/>
          <w:szCs w:val="20"/>
        </w:rPr>
        <w:fldChar w:fldCharType="begin"/>
      </w:r>
      <w:r w:rsidR="0095638D" w:rsidRPr="005B639A">
        <w:rPr>
          <w:sz w:val="20"/>
          <w:szCs w:val="20"/>
          <w:lang w:val="en-US"/>
        </w:rPr>
        <w:instrText xml:space="preserve"> REF _Ref527643660 \r \h </w:instrText>
      </w:r>
      <w:r w:rsidR="0095638D" w:rsidRPr="005B639A">
        <w:rPr>
          <w:sz w:val="20"/>
          <w:szCs w:val="20"/>
        </w:rPr>
      </w:r>
      <w:r w:rsidR="005B639A" w:rsidRPr="005B639A">
        <w:rPr>
          <w:sz w:val="20"/>
          <w:szCs w:val="20"/>
          <w:lang w:val="en-US"/>
        </w:rPr>
        <w:instrText xml:space="preserve"> \* MERGEFORMAT </w:instrText>
      </w:r>
      <w:r w:rsidR="0095638D" w:rsidRPr="005B639A">
        <w:rPr>
          <w:sz w:val="20"/>
          <w:szCs w:val="20"/>
        </w:rPr>
        <w:fldChar w:fldCharType="separate"/>
      </w:r>
      <w:r w:rsidR="000A7DE0">
        <w:rPr>
          <w:sz w:val="20"/>
          <w:szCs w:val="20"/>
          <w:lang w:val="en-US"/>
        </w:rPr>
        <w:t>[3]</w:t>
      </w:r>
      <w:r w:rsidR="0095638D" w:rsidRPr="005B639A">
        <w:rPr>
          <w:sz w:val="20"/>
          <w:szCs w:val="20"/>
        </w:rPr>
        <w:fldChar w:fldCharType="end"/>
      </w:r>
      <w:r w:rsidRPr="005B639A">
        <w:rPr>
          <w:sz w:val="20"/>
          <w:szCs w:val="20"/>
          <w:lang w:val="en-US"/>
        </w:rPr>
        <w:t>:</w:t>
      </w:r>
    </w:p>
    <w:p w14:paraId="03C2F3DF" w14:textId="490A7ACA" w:rsidR="003C62C9" w:rsidRPr="005B639A" w:rsidRDefault="003C62C9" w:rsidP="003C62C9">
      <w:pPr>
        <w:pStyle w:val="BodyText"/>
        <w:numPr>
          <w:ilvl w:val="0"/>
          <w:numId w:val="24"/>
        </w:numPr>
        <w:rPr>
          <w:sz w:val="20"/>
          <w:szCs w:val="20"/>
          <w:lang w:val="en-US"/>
        </w:rPr>
      </w:pPr>
      <w:r w:rsidRPr="005B639A">
        <w:rPr>
          <w:sz w:val="20"/>
          <w:szCs w:val="20"/>
          <w:lang w:val="en-US"/>
        </w:rPr>
        <w:t>RAN2 intends to support MT-initiated EDT for both CP and UP solutions.</w:t>
      </w:r>
    </w:p>
    <w:p w14:paraId="69125C6B" w14:textId="62C6E4BF" w:rsidR="003C62C9" w:rsidRPr="005B639A" w:rsidRDefault="003C62C9" w:rsidP="003C62C9">
      <w:pPr>
        <w:pStyle w:val="BodyText"/>
        <w:numPr>
          <w:ilvl w:val="0"/>
          <w:numId w:val="24"/>
        </w:numPr>
        <w:rPr>
          <w:sz w:val="20"/>
          <w:szCs w:val="20"/>
          <w:lang w:val="en-US"/>
        </w:rPr>
      </w:pPr>
      <w:r w:rsidRPr="005B639A">
        <w:rPr>
          <w:sz w:val="20"/>
          <w:szCs w:val="20"/>
          <w:lang w:val="en-US"/>
        </w:rPr>
        <w:t xml:space="preserve">The intention to use MT-EDT is for user data, i.e. not for NAS </w:t>
      </w:r>
      <w:proofErr w:type="spellStart"/>
      <w:r w:rsidRPr="005B639A">
        <w:rPr>
          <w:sz w:val="20"/>
          <w:szCs w:val="20"/>
          <w:lang w:val="en-US"/>
        </w:rPr>
        <w:t>signalling</w:t>
      </w:r>
      <w:proofErr w:type="spellEnd"/>
      <w:r w:rsidRPr="005B639A">
        <w:rPr>
          <w:sz w:val="20"/>
          <w:szCs w:val="20"/>
          <w:lang w:val="en-US"/>
        </w:rPr>
        <w:t>.</w:t>
      </w:r>
    </w:p>
    <w:p w14:paraId="66BB5DC6" w14:textId="55915DCD" w:rsidR="00477768" w:rsidRPr="005B639A" w:rsidRDefault="007F433C" w:rsidP="00EA13FC">
      <w:pPr>
        <w:pStyle w:val="BodyText"/>
        <w:rPr>
          <w:sz w:val="20"/>
          <w:szCs w:val="20"/>
          <w:lang w:val="en-US"/>
        </w:rPr>
      </w:pPr>
      <w:r w:rsidRPr="005B639A">
        <w:rPr>
          <w:sz w:val="20"/>
          <w:szCs w:val="20"/>
          <w:lang w:val="en-US"/>
        </w:rPr>
        <w:t>General considerations in MT EDT for different approaches of early transmission of DL data</w:t>
      </w:r>
      <w:r w:rsidR="00BE5735" w:rsidRPr="005B639A">
        <w:rPr>
          <w:sz w:val="20"/>
          <w:szCs w:val="20"/>
          <w:lang w:val="en-US"/>
        </w:rPr>
        <w:t>, e.g., DL data in paging, DL data scheduled by paging, DL data in Msg2, and DL data in Msg4</w:t>
      </w:r>
      <w:r w:rsidRPr="005B639A">
        <w:rPr>
          <w:sz w:val="20"/>
          <w:szCs w:val="20"/>
          <w:lang w:val="en-US"/>
        </w:rPr>
        <w:t xml:space="preserve"> are discussed in</w:t>
      </w:r>
      <w:r w:rsidR="0095638D" w:rsidRPr="005B639A">
        <w:rPr>
          <w:sz w:val="20"/>
          <w:szCs w:val="20"/>
          <w:lang w:val="en-US"/>
        </w:rPr>
        <w:t xml:space="preserve"> </w:t>
      </w:r>
      <w:r w:rsidR="0095638D" w:rsidRPr="005B639A">
        <w:rPr>
          <w:sz w:val="20"/>
          <w:szCs w:val="20"/>
        </w:rPr>
        <w:fldChar w:fldCharType="begin"/>
      </w:r>
      <w:r w:rsidR="0095638D" w:rsidRPr="005B639A">
        <w:rPr>
          <w:sz w:val="20"/>
          <w:szCs w:val="20"/>
          <w:lang w:val="en-US"/>
        </w:rPr>
        <w:instrText xml:space="preserve"> REF _Ref527643720 \r \h </w:instrText>
      </w:r>
      <w:r w:rsidR="0095638D" w:rsidRPr="005B639A">
        <w:rPr>
          <w:sz w:val="20"/>
          <w:szCs w:val="20"/>
        </w:rPr>
      </w:r>
      <w:r w:rsidR="005B639A" w:rsidRPr="005B639A">
        <w:rPr>
          <w:sz w:val="20"/>
          <w:szCs w:val="20"/>
          <w:lang w:val="en-US"/>
        </w:rPr>
        <w:instrText xml:space="preserve"> \* MERGEFORMAT </w:instrText>
      </w:r>
      <w:r w:rsidR="0095638D" w:rsidRPr="005B639A">
        <w:rPr>
          <w:sz w:val="20"/>
          <w:szCs w:val="20"/>
        </w:rPr>
        <w:fldChar w:fldCharType="separate"/>
      </w:r>
      <w:r w:rsidR="000A7DE0">
        <w:rPr>
          <w:sz w:val="20"/>
          <w:szCs w:val="20"/>
          <w:lang w:val="en-US"/>
        </w:rPr>
        <w:t>[4]</w:t>
      </w:r>
      <w:r w:rsidR="0095638D" w:rsidRPr="005B639A">
        <w:rPr>
          <w:sz w:val="20"/>
          <w:szCs w:val="20"/>
        </w:rPr>
        <w:fldChar w:fldCharType="end"/>
      </w:r>
      <w:r w:rsidRPr="005B639A">
        <w:rPr>
          <w:sz w:val="20"/>
          <w:szCs w:val="20"/>
          <w:lang w:val="en-US"/>
        </w:rPr>
        <w:t>. Among the approaches, t</w:t>
      </w:r>
      <w:r w:rsidR="00EA13FC" w:rsidRPr="005B639A">
        <w:rPr>
          <w:sz w:val="20"/>
          <w:szCs w:val="20"/>
          <w:lang w:val="en-US"/>
        </w:rPr>
        <w:t xml:space="preserve">his contribution </w:t>
      </w:r>
      <w:r w:rsidRPr="005B639A">
        <w:rPr>
          <w:sz w:val="20"/>
          <w:szCs w:val="20"/>
          <w:lang w:val="en-US"/>
        </w:rPr>
        <w:t xml:space="preserve">proposes and </w:t>
      </w:r>
      <w:r w:rsidR="00EA13FC" w:rsidRPr="005B639A">
        <w:rPr>
          <w:sz w:val="20"/>
          <w:szCs w:val="20"/>
          <w:lang w:val="en-US"/>
        </w:rPr>
        <w:t xml:space="preserve">discusses </w:t>
      </w:r>
      <w:r w:rsidRPr="005B639A">
        <w:rPr>
          <w:sz w:val="20"/>
          <w:szCs w:val="20"/>
          <w:lang w:val="en-US"/>
        </w:rPr>
        <w:t xml:space="preserve">in detail </w:t>
      </w:r>
      <w:r w:rsidR="00EA13FC" w:rsidRPr="005B639A">
        <w:rPr>
          <w:sz w:val="20"/>
          <w:szCs w:val="20"/>
          <w:lang w:val="en-US"/>
        </w:rPr>
        <w:t xml:space="preserve">solutions </w:t>
      </w:r>
      <w:r w:rsidRPr="005B639A">
        <w:rPr>
          <w:sz w:val="20"/>
          <w:szCs w:val="20"/>
          <w:lang w:val="en-US"/>
        </w:rPr>
        <w:t>for transmission of MT DL data in Msg4 for both</w:t>
      </w:r>
      <w:r w:rsidR="00EA13FC" w:rsidRPr="005B639A">
        <w:rPr>
          <w:sz w:val="20"/>
          <w:szCs w:val="20"/>
          <w:lang w:val="en-US"/>
        </w:rPr>
        <w:t xml:space="preserve"> UP and CP solutions.</w:t>
      </w:r>
    </w:p>
    <w:p w14:paraId="3D097342" w14:textId="77777777" w:rsidR="004000E8" w:rsidRPr="00CE0424" w:rsidRDefault="00230D18" w:rsidP="00CE0424">
      <w:pPr>
        <w:pStyle w:val="Heading1"/>
      </w:pPr>
      <w:bookmarkStart w:id="1" w:name="_Ref178064866"/>
      <w:r>
        <w:t>2</w:t>
      </w:r>
      <w:r>
        <w:tab/>
      </w:r>
      <w:r w:rsidR="004000E8" w:rsidRPr="00CE0424">
        <w:t>Discussion</w:t>
      </w:r>
      <w:bookmarkEnd w:id="1"/>
    </w:p>
    <w:p w14:paraId="2E978E42" w14:textId="76AFE12F" w:rsidR="00F63950" w:rsidRDefault="00230D18" w:rsidP="00F63950">
      <w:pPr>
        <w:pStyle w:val="Heading2"/>
      </w:pPr>
      <w:r>
        <w:t>2.1</w:t>
      </w:r>
      <w:r>
        <w:tab/>
      </w:r>
      <w:bookmarkStart w:id="2" w:name="_Ref517959869"/>
      <w:r w:rsidR="0045684B">
        <w:t>MT UP-EDT</w:t>
      </w:r>
      <w:bookmarkEnd w:id="2"/>
    </w:p>
    <w:p w14:paraId="28F3D472" w14:textId="333AA77C" w:rsidR="0045684B" w:rsidRPr="005B639A" w:rsidRDefault="0045684B" w:rsidP="0045684B">
      <w:pPr>
        <w:pStyle w:val="BodyText"/>
        <w:rPr>
          <w:rFonts w:cs="Arial"/>
          <w:sz w:val="20"/>
          <w:szCs w:val="20"/>
          <w:lang w:val="en-US"/>
        </w:rPr>
      </w:pPr>
      <w:r w:rsidRPr="005B639A">
        <w:rPr>
          <w:rFonts w:cs="Arial"/>
          <w:sz w:val="20"/>
          <w:szCs w:val="20"/>
        </w:rPr>
        <w:fldChar w:fldCharType="begin"/>
      </w:r>
      <w:r w:rsidRPr="005B639A">
        <w:rPr>
          <w:rFonts w:cs="Arial"/>
          <w:sz w:val="20"/>
          <w:szCs w:val="20"/>
          <w:lang w:val="en-US"/>
        </w:rPr>
        <w:instrText xml:space="preserve"> REF _Ref504488826 \h </w:instrText>
      </w:r>
      <w:r w:rsidRPr="005B639A">
        <w:rPr>
          <w:rFonts w:cs="Arial"/>
          <w:sz w:val="20"/>
          <w:szCs w:val="20"/>
        </w:rPr>
      </w:r>
      <w:r w:rsidR="005B639A" w:rsidRPr="005B639A">
        <w:rPr>
          <w:rFonts w:cs="Arial"/>
          <w:sz w:val="20"/>
          <w:szCs w:val="20"/>
          <w:lang w:val="en-US"/>
        </w:rPr>
        <w:instrText xml:space="preserve"> \* MERGEFORMAT </w:instrText>
      </w:r>
      <w:r w:rsidRPr="005B639A">
        <w:rPr>
          <w:rFonts w:cs="Arial"/>
          <w:sz w:val="20"/>
          <w:szCs w:val="20"/>
        </w:rPr>
        <w:fldChar w:fldCharType="separate"/>
      </w:r>
      <w:r w:rsidR="000A7DE0" w:rsidRPr="000A7DE0">
        <w:rPr>
          <w:sz w:val="20"/>
          <w:szCs w:val="20"/>
          <w:lang w:val="en-US"/>
        </w:rPr>
        <w:t xml:space="preserve">Figure </w:t>
      </w:r>
      <w:r w:rsidR="000A7DE0" w:rsidRPr="000A7DE0">
        <w:rPr>
          <w:noProof/>
          <w:sz w:val="20"/>
          <w:szCs w:val="20"/>
          <w:lang w:val="en-US"/>
        </w:rPr>
        <w:t>1</w:t>
      </w:r>
      <w:r w:rsidRPr="005B639A">
        <w:rPr>
          <w:rFonts w:cs="Arial"/>
          <w:sz w:val="20"/>
          <w:szCs w:val="20"/>
        </w:rPr>
        <w:fldChar w:fldCharType="end"/>
      </w:r>
      <w:r w:rsidRPr="005B639A">
        <w:rPr>
          <w:rFonts w:cs="Arial"/>
          <w:sz w:val="20"/>
          <w:szCs w:val="20"/>
          <w:lang w:val="en-US"/>
        </w:rPr>
        <w:t xml:space="preserve"> shows the signaling flow of the proposed MT UP-EDT solution. In MO UP-EDT solution, it was agreed in RAN2#102 that the DL data is optionally multiplexed with the </w:t>
      </w:r>
      <w:r w:rsidRPr="005B639A">
        <w:rPr>
          <w:rFonts w:cs="Arial"/>
          <w:i/>
          <w:sz w:val="20"/>
          <w:szCs w:val="20"/>
          <w:lang w:val="en-US"/>
        </w:rPr>
        <w:t>RRCConnectionResume</w:t>
      </w:r>
      <w:r w:rsidRPr="005B639A">
        <w:rPr>
          <w:rFonts w:cs="Arial"/>
          <w:sz w:val="20"/>
          <w:szCs w:val="20"/>
          <w:lang w:val="en-US"/>
        </w:rPr>
        <w:t xml:space="preserve"> in Msg4 in MO UP-EDT and segmentation in Msg4 is up to the network.</w:t>
      </w:r>
    </w:p>
    <w:p w14:paraId="1517F90A" w14:textId="77777777" w:rsidR="001D21CA" w:rsidRPr="005B639A" w:rsidRDefault="001D21CA" w:rsidP="001D21CA">
      <w:pPr>
        <w:pStyle w:val="BodyText"/>
        <w:numPr>
          <w:ilvl w:val="0"/>
          <w:numId w:val="25"/>
        </w:numPr>
        <w:rPr>
          <w:rFonts w:cs="Arial"/>
          <w:sz w:val="20"/>
          <w:szCs w:val="20"/>
          <w:lang w:val="en-US"/>
        </w:rPr>
      </w:pPr>
      <w:r w:rsidRPr="005B639A">
        <w:rPr>
          <w:rFonts w:cs="Arial"/>
          <w:sz w:val="20"/>
          <w:szCs w:val="20"/>
          <w:lang w:val="en-US"/>
        </w:rPr>
        <w:t>For UP solution, DL data can be multiplexed with the RRCConnectionResume in Msg4.</w:t>
      </w:r>
    </w:p>
    <w:p w14:paraId="031699D4" w14:textId="68A85644" w:rsidR="001D21CA" w:rsidRPr="005B639A" w:rsidRDefault="001D21CA" w:rsidP="000F77A2">
      <w:pPr>
        <w:pStyle w:val="BodyText"/>
        <w:numPr>
          <w:ilvl w:val="0"/>
          <w:numId w:val="25"/>
        </w:numPr>
        <w:rPr>
          <w:rFonts w:cs="Arial"/>
          <w:sz w:val="20"/>
          <w:szCs w:val="20"/>
          <w:lang w:val="en-US"/>
        </w:rPr>
      </w:pPr>
      <w:r w:rsidRPr="005B639A">
        <w:rPr>
          <w:rFonts w:cs="Arial"/>
          <w:sz w:val="20"/>
          <w:szCs w:val="20"/>
          <w:lang w:val="en-US"/>
        </w:rPr>
        <w:t xml:space="preserve">Segmentation is not supported for EDT Msg3. It is up to the network for EDT Msg4, i.e. </w:t>
      </w:r>
      <w:r w:rsidRPr="005B639A">
        <w:rPr>
          <w:rFonts w:cs="Arial"/>
          <w:i/>
          <w:sz w:val="20"/>
          <w:szCs w:val="20"/>
          <w:lang w:val="en-US"/>
        </w:rPr>
        <w:t>RRCConnectionResume</w:t>
      </w:r>
      <w:r w:rsidRPr="005B639A">
        <w:rPr>
          <w:rFonts w:cs="Arial"/>
          <w:sz w:val="20"/>
          <w:szCs w:val="20"/>
          <w:lang w:val="en-US"/>
        </w:rPr>
        <w:t xml:space="preserve"> msg.</w:t>
      </w:r>
    </w:p>
    <w:p w14:paraId="1361C5F4" w14:textId="2077BA95" w:rsidR="0045684B" w:rsidRPr="005B639A" w:rsidRDefault="0045684B" w:rsidP="00CE0424">
      <w:pPr>
        <w:pStyle w:val="Observation"/>
        <w:ind w:left="1710" w:hanging="1710"/>
        <w:rPr>
          <w:sz w:val="20"/>
          <w:szCs w:val="20"/>
          <w:lang w:val="en-US"/>
        </w:rPr>
      </w:pPr>
      <w:bookmarkStart w:id="3" w:name="_Toc525888978"/>
      <w:bookmarkStart w:id="4" w:name="_Toc528859673"/>
      <w:r w:rsidRPr="005B639A">
        <w:rPr>
          <w:rFonts w:cs="Arial"/>
          <w:sz w:val="20"/>
          <w:szCs w:val="20"/>
          <w:lang w:val="en-US"/>
        </w:rPr>
        <w:t xml:space="preserve">For UP solution, DL data can be multiplexed with the </w:t>
      </w:r>
      <w:r w:rsidRPr="005B639A">
        <w:rPr>
          <w:sz w:val="20"/>
          <w:szCs w:val="20"/>
          <w:lang w:val="en-US"/>
        </w:rPr>
        <w:t>RRCConnectionResume</w:t>
      </w:r>
      <w:r w:rsidRPr="005B639A">
        <w:rPr>
          <w:rFonts w:cs="Arial"/>
          <w:sz w:val="20"/>
          <w:szCs w:val="20"/>
          <w:lang w:val="en-US"/>
        </w:rPr>
        <w:t xml:space="preserve"> in Msg4.</w:t>
      </w:r>
      <w:bookmarkEnd w:id="3"/>
      <w:bookmarkEnd w:id="4"/>
    </w:p>
    <w:p w14:paraId="668D3893" w14:textId="77777777" w:rsidR="0045684B" w:rsidRPr="005B639A" w:rsidRDefault="0045684B" w:rsidP="0045684B">
      <w:pPr>
        <w:pStyle w:val="BodyText"/>
        <w:rPr>
          <w:rFonts w:cs="Arial"/>
          <w:sz w:val="20"/>
          <w:szCs w:val="20"/>
          <w:lang w:val="en-US"/>
        </w:rPr>
      </w:pPr>
      <w:r w:rsidRPr="005B639A">
        <w:rPr>
          <w:rFonts w:cs="Arial"/>
          <w:sz w:val="20"/>
          <w:szCs w:val="20"/>
          <w:lang w:val="en-US"/>
        </w:rPr>
        <w:t>We assume that these agreements also apply to the MT UP-EDT, i.e., MT UP-EDT is possible for any DL data size. Thus, there is no need for the MT EDT indication in the case of UP solution.</w:t>
      </w:r>
    </w:p>
    <w:p w14:paraId="7DDECB96" w14:textId="1109B035" w:rsidR="00EA13FC" w:rsidRPr="005B639A" w:rsidRDefault="004272ED" w:rsidP="00A04F49">
      <w:pPr>
        <w:pStyle w:val="Proposal"/>
        <w:rPr>
          <w:sz w:val="20"/>
          <w:szCs w:val="20"/>
          <w:lang w:val="en-US"/>
        </w:rPr>
      </w:pPr>
      <w:bookmarkStart w:id="5" w:name="_Toc525888986"/>
      <w:bookmarkStart w:id="6" w:name="_Toc528859680"/>
      <w:r w:rsidRPr="005B639A">
        <w:rPr>
          <w:sz w:val="20"/>
          <w:szCs w:val="20"/>
          <w:lang w:val="en-US"/>
        </w:rPr>
        <w:t>For MT UP-EDT solution, no need for MT EDT indication from the network to the UE.</w:t>
      </w:r>
      <w:bookmarkEnd w:id="5"/>
      <w:bookmarkEnd w:id="6"/>
    </w:p>
    <w:p w14:paraId="18BBDD7B" w14:textId="77777777" w:rsidR="004272ED" w:rsidRPr="005B639A" w:rsidRDefault="004272ED" w:rsidP="004272ED">
      <w:pPr>
        <w:pStyle w:val="BodyText"/>
        <w:rPr>
          <w:rFonts w:cs="Arial"/>
          <w:sz w:val="20"/>
          <w:szCs w:val="20"/>
          <w:lang w:val="en-US"/>
        </w:rPr>
      </w:pPr>
    </w:p>
    <w:p w14:paraId="7A2C6829" w14:textId="77777777" w:rsidR="004272ED" w:rsidRPr="005B639A" w:rsidRDefault="004272ED" w:rsidP="004272ED">
      <w:pPr>
        <w:pStyle w:val="BodyText"/>
        <w:rPr>
          <w:rFonts w:cs="Arial"/>
          <w:sz w:val="20"/>
          <w:szCs w:val="20"/>
        </w:rPr>
      </w:pPr>
      <w:r w:rsidRPr="005B639A">
        <w:rPr>
          <w:rFonts w:cs="Arial"/>
          <w:noProof/>
          <w:sz w:val="20"/>
          <w:szCs w:val="20"/>
        </w:rPr>
        <w:lastRenderedPageBreak/>
        <w:drawing>
          <wp:inline distT="0" distB="0" distL="0" distR="0" wp14:anchorId="6BC3FECE" wp14:editId="59130F75">
            <wp:extent cx="5821200" cy="421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1200" cy="4212000"/>
                    </a:xfrm>
                    <a:prstGeom prst="rect">
                      <a:avLst/>
                    </a:prstGeom>
                    <a:noFill/>
                  </pic:spPr>
                </pic:pic>
              </a:graphicData>
            </a:graphic>
          </wp:inline>
        </w:drawing>
      </w:r>
    </w:p>
    <w:p w14:paraId="14A4DABE" w14:textId="58183660" w:rsidR="004272ED" w:rsidRPr="005B639A" w:rsidRDefault="004272ED" w:rsidP="004272ED">
      <w:pPr>
        <w:pStyle w:val="TF"/>
        <w:rPr>
          <w:sz w:val="20"/>
          <w:szCs w:val="20"/>
        </w:rPr>
      </w:pPr>
      <w:bookmarkStart w:id="7"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0A7DE0">
        <w:rPr>
          <w:noProof/>
          <w:sz w:val="20"/>
          <w:szCs w:val="20"/>
        </w:rPr>
        <w:t>1</w:t>
      </w:r>
      <w:r w:rsidRPr="005B639A">
        <w:rPr>
          <w:sz w:val="20"/>
          <w:szCs w:val="20"/>
        </w:rPr>
        <w:fldChar w:fldCharType="end"/>
      </w:r>
      <w:bookmarkEnd w:id="7"/>
      <w:r w:rsidRPr="005B639A">
        <w:rPr>
          <w:sz w:val="20"/>
          <w:szCs w:val="20"/>
        </w:rPr>
        <w:t>: Signaling flow for MT UP-EDT</w:t>
      </w:r>
    </w:p>
    <w:p w14:paraId="6095C0CC" w14:textId="77777777" w:rsidR="00526B20" w:rsidRPr="005B639A" w:rsidRDefault="00526B20" w:rsidP="00526B20">
      <w:pPr>
        <w:pStyle w:val="BodyText"/>
        <w:rPr>
          <w:rFonts w:cs="Arial"/>
          <w:sz w:val="20"/>
          <w:szCs w:val="20"/>
          <w:lang w:val="en-US"/>
        </w:rPr>
      </w:pPr>
      <w:r w:rsidRPr="005B639A">
        <w:rPr>
          <w:rFonts w:cs="Arial"/>
          <w:sz w:val="20"/>
          <w:szCs w:val="20"/>
          <w:lang w:val="en-US"/>
        </w:rPr>
        <w:t>The UE does not need an indication from the network, but it needs to prepare itself for receiving DL data in Msg4. This also means that legacy rather than EDT type of Msg1 and Msg2 can be used, i.e., the UE does not select EDT preamble in Msg1 and the network does not provide EDT UL grant in Msg2 since there is no need to transmit Msg3 larger than the legacy message.</w:t>
      </w:r>
    </w:p>
    <w:p w14:paraId="6C12335D" w14:textId="77777777" w:rsidR="00526B20" w:rsidRPr="005B639A" w:rsidRDefault="00526B20" w:rsidP="00526B20">
      <w:pPr>
        <w:pStyle w:val="Proposal"/>
        <w:tabs>
          <w:tab w:val="num" w:pos="1701"/>
          <w:tab w:val="num" w:pos="5557"/>
        </w:tabs>
        <w:rPr>
          <w:rFonts w:cs="Arial"/>
          <w:bCs w:val="0"/>
          <w:sz w:val="20"/>
          <w:szCs w:val="20"/>
          <w:lang w:val="en-US"/>
        </w:rPr>
      </w:pPr>
      <w:bookmarkStart w:id="8" w:name="_Toc497687708"/>
      <w:bookmarkStart w:id="9" w:name="_Toc497688967"/>
      <w:bookmarkStart w:id="10" w:name="_Toc497689776"/>
      <w:bookmarkStart w:id="11" w:name="_Toc497689813"/>
      <w:bookmarkStart w:id="12" w:name="_Toc497743801"/>
      <w:bookmarkStart w:id="13" w:name="_Toc497743832"/>
      <w:bookmarkStart w:id="14" w:name="_Toc497743856"/>
      <w:bookmarkStart w:id="15" w:name="_Toc497743911"/>
      <w:bookmarkStart w:id="16" w:name="_Toc497744544"/>
      <w:bookmarkStart w:id="17" w:name="_Ref498092161"/>
      <w:bookmarkStart w:id="18" w:name="_Toc498092226"/>
      <w:bookmarkStart w:id="19" w:name="_Toc498095748"/>
      <w:bookmarkStart w:id="20" w:name="_Toc498096063"/>
      <w:bookmarkStart w:id="21" w:name="_Toc498096128"/>
      <w:bookmarkStart w:id="22" w:name="_Toc498096190"/>
      <w:bookmarkStart w:id="23" w:name="_Toc498096866"/>
      <w:bookmarkStart w:id="24" w:name="_Toc498096984"/>
      <w:bookmarkStart w:id="25" w:name="_Toc498097245"/>
      <w:bookmarkStart w:id="26" w:name="_Toc498351213"/>
      <w:bookmarkStart w:id="27" w:name="_Toc498352248"/>
      <w:bookmarkStart w:id="28" w:name="_Toc498527528"/>
      <w:bookmarkStart w:id="29" w:name="_Toc498531506"/>
      <w:bookmarkStart w:id="30" w:name="_Toc498531714"/>
      <w:bookmarkStart w:id="31" w:name="_Toc498537991"/>
      <w:bookmarkStart w:id="32" w:name="_Toc498538019"/>
      <w:bookmarkStart w:id="33" w:name="_Toc498592584"/>
      <w:bookmarkStart w:id="34" w:name="_Toc498592611"/>
      <w:bookmarkStart w:id="35" w:name="_Toc498593201"/>
      <w:bookmarkStart w:id="36" w:name="_Toc498593305"/>
      <w:bookmarkStart w:id="37" w:name="_Toc498593470"/>
      <w:bookmarkStart w:id="38" w:name="_Toc498593532"/>
      <w:bookmarkStart w:id="39" w:name="_Toc498593560"/>
      <w:bookmarkStart w:id="40" w:name="_Toc498593686"/>
      <w:bookmarkStart w:id="41" w:name="_Toc498593862"/>
      <w:bookmarkStart w:id="42" w:name="_Toc498594035"/>
      <w:bookmarkStart w:id="43" w:name="_Toc498594057"/>
      <w:bookmarkStart w:id="44" w:name="_Toc498595026"/>
      <w:bookmarkStart w:id="45" w:name="_Toc498609204"/>
      <w:bookmarkStart w:id="46" w:name="_Toc498609231"/>
      <w:bookmarkStart w:id="47" w:name="_Toc498618143"/>
      <w:bookmarkStart w:id="48" w:name="_Toc498618628"/>
      <w:bookmarkStart w:id="49" w:name="_Toc498638600"/>
      <w:bookmarkStart w:id="50" w:name="_Toc498638684"/>
      <w:bookmarkStart w:id="51" w:name="_Toc498644614"/>
      <w:bookmarkStart w:id="52" w:name="_Toc498652189"/>
      <w:bookmarkStart w:id="53" w:name="_Toc498661961"/>
      <w:bookmarkStart w:id="54" w:name="_Toc505092552"/>
      <w:bookmarkStart w:id="55" w:name="_Toc510629335"/>
      <w:bookmarkStart w:id="56" w:name="_Toc510701089"/>
      <w:bookmarkStart w:id="57" w:name="_Toc525888987"/>
      <w:bookmarkStart w:id="58" w:name="_Toc528859681"/>
      <w:r w:rsidRPr="005B639A">
        <w:rPr>
          <w:sz w:val="20"/>
          <w:szCs w:val="20"/>
          <w:lang w:val="en-US"/>
        </w:rPr>
        <w:t xml:space="preserve">Legacy (i.e., non-EDT) Msg1 and Msg2 are used in MT UP-EDT solution </w:t>
      </w:r>
      <w:r w:rsidRPr="005B639A">
        <w:rPr>
          <w:rFonts w:cs="Arial"/>
          <w:sz w:val="20"/>
          <w:szCs w:val="20"/>
          <w:lang w:val="en-US"/>
        </w:rPr>
        <w:t>(i.e., for DL-only data case)</w:t>
      </w:r>
      <w:r w:rsidRPr="005B639A">
        <w:rPr>
          <w:sz w:val="20"/>
          <w:szCs w:val="20"/>
          <w:lang w:val="en-US"/>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496E26" w14:textId="77777777" w:rsidR="00526B20" w:rsidRPr="005B639A" w:rsidRDefault="00526B20" w:rsidP="00526B20">
      <w:pPr>
        <w:pStyle w:val="BodyText"/>
        <w:rPr>
          <w:rFonts w:cs="Arial"/>
          <w:sz w:val="20"/>
          <w:szCs w:val="20"/>
          <w:lang w:val="en-US"/>
        </w:rPr>
      </w:pPr>
      <w:r w:rsidRPr="005B639A">
        <w:rPr>
          <w:rFonts w:cs="Arial"/>
          <w:sz w:val="20"/>
          <w:szCs w:val="20"/>
          <w:lang w:val="en-US"/>
        </w:rPr>
        <w:t>Then, RRC messages in Msg3 and Msg4 in MO UP-EDT can be reused for MT UP-EDT solution.</w:t>
      </w:r>
    </w:p>
    <w:p w14:paraId="491368EB" w14:textId="77777777" w:rsidR="00526B20" w:rsidRPr="005B639A" w:rsidRDefault="00526B20" w:rsidP="00526B20">
      <w:pPr>
        <w:pStyle w:val="Proposal"/>
        <w:tabs>
          <w:tab w:val="num" w:pos="1701"/>
          <w:tab w:val="num" w:pos="5557"/>
        </w:tabs>
        <w:rPr>
          <w:rFonts w:cs="Arial"/>
          <w:bCs w:val="0"/>
          <w:sz w:val="20"/>
          <w:szCs w:val="20"/>
          <w:lang w:val="en-US"/>
        </w:rPr>
      </w:pPr>
      <w:bookmarkStart w:id="59" w:name="_Toc525888988"/>
      <w:bookmarkStart w:id="60" w:name="_Toc528859682"/>
      <w:r w:rsidRPr="005B639A">
        <w:rPr>
          <w:sz w:val="20"/>
          <w:szCs w:val="20"/>
          <w:lang w:val="en-US"/>
        </w:rPr>
        <w:t xml:space="preserve">RRC messages in Msg3 and Msg4 in MO UP-EDT are used for MT UP-EDT. </w:t>
      </w:r>
      <w:r w:rsidRPr="005B639A">
        <w:rPr>
          <w:rFonts w:cs="Arial"/>
          <w:sz w:val="20"/>
          <w:szCs w:val="20"/>
          <w:lang w:val="en-US"/>
        </w:rPr>
        <w:t xml:space="preserve">In DL-only data case, </w:t>
      </w:r>
      <w:r w:rsidRPr="005B639A">
        <w:rPr>
          <w:sz w:val="20"/>
          <w:szCs w:val="20"/>
          <w:lang w:val="en-US"/>
        </w:rPr>
        <w:t>there is no UL data in Msg3.</w:t>
      </w:r>
      <w:bookmarkEnd w:id="59"/>
      <w:bookmarkEnd w:id="60"/>
    </w:p>
    <w:p w14:paraId="08ACD34B" w14:textId="77777777" w:rsidR="00526B20" w:rsidRPr="005B639A" w:rsidRDefault="00526B20" w:rsidP="00526B20">
      <w:pPr>
        <w:pStyle w:val="BodyText"/>
        <w:rPr>
          <w:sz w:val="20"/>
          <w:szCs w:val="20"/>
          <w:lang w:val="en-US"/>
        </w:rPr>
      </w:pPr>
      <w:r w:rsidRPr="005B639A">
        <w:rPr>
          <w:rFonts w:cs="Arial"/>
          <w:sz w:val="20"/>
          <w:szCs w:val="20"/>
          <w:lang w:val="en-US"/>
        </w:rPr>
        <w:t>For the UE to prepare itself before receiving Msg4, there are two cases depending on whether the UE has been provided with an NCC during previous suspend or not. In both cases, the UE should activate security early enough for receiving Msg4 with ciphered DL data.</w:t>
      </w:r>
    </w:p>
    <w:p w14:paraId="6932A881" w14:textId="77777777" w:rsidR="00526B20" w:rsidRPr="005B639A" w:rsidRDefault="00526B20" w:rsidP="00526B20">
      <w:pPr>
        <w:pStyle w:val="BodyText"/>
        <w:rPr>
          <w:sz w:val="20"/>
          <w:szCs w:val="20"/>
          <w:lang w:val="en-US"/>
        </w:rPr>
      </w:pPr>
      <w:r w:rsidRPr="005B639A">
        <w:rPr>
          <w:rFonts w:cs="Arial"/>
          <w:sz w:val="20"/>
          <w:szCs w:val="20"/>
          <w:lang w:val="en-US"/>
        </w:rPr>
        <w:t xml:space="preserve">In the former case (with NCC from suspend), it is proposed that the UE always restores context, reactivates security, and performs security-related actions before Msg3 transmission. This early activation of security is particularly important in case Msg4 includes the </w:t>
      </w:r>
      <w:r w:rsidRPr="005B639A">
        <w:rPr>
          <w:rFonts w:cs="Arial"/>
          <w:i/>
          <w:sz w:val="20"/>
          <w:szCs w:val="20"/>
          <w:lang w:val="en-US"/>
        </w:rPr>
        <w:t>RRCConnectionRelease</w:t>
      </w:r>
      <w:r w:rsidRPr="005B639A">
        <w:rPr>
          <w:rFonts w:cs="Arial"/>
          <w:sz w:val="20"/>
          <w:szCs w:val="20"/>
          <w:lang w:val="en-US"/>
        </w:rPr>
        <w:t xml:space="preserve"> with </w:t>
      </w:r>
      <w:proofErr w:type="spellStart"/>
      <w:r w:rsidRPr="005B639A">
        <w:rPr>
          <w:rFonts w:cs="Arial"/>
          <w:i/>
          <w:sz w:val="20"/>
          <w:szCs w:val="20"/>
          <w:lang w:val="en-US"/>
        </w:rPr>
        <w:t>resumeIdentity</w:t>
      </w:r>
      <w:proofErr w:type="spellEnd"/>
      <w:r w:rsidRPr="005B639A">
        <w:rPr>
          <w:rFonts w:cs="Arial"/>
          <w:i/>
          <w:sz w:val="20"/>
          <w:szCs w:val="20"/>
          <w:lang w:val="en-US"/>
        </w:rPr>
        <w:t xml:space="preserve">, </w:t>
      </w:r>
      <w:r w:rsidRPr="005B639A">
        <w:rPr>
          <w:rFonts w:cs="Arial"/>
          <w:sz w:val="20"/>
          <w:szCs w:val="20"/>
          <w:lang w:val="en-US"/>
        </w:rPr>
        <w:t>which is ciphered.</w:t>
      </w:r>
    </w:p>
    <w:p w14:paraId="577748E9" w14:textId="77777777" w:rsidR="00526B20" w:rsidRPr="005B639A" w:rsidRDefault="00526B20" w:rsidP="00526B20">
      <w:pPr>
        <w:pStyle w:val="Proposal"/>
        <w:tabs>
          <w:tab w:val="num" w:pos="1701"/>
          <w:tab w:val="num" w:pos="5557"/>
        </w:tabs>
        <w:rPr>
          <w:rFonts w:cs="Arial"/>
          <w:sz w:val="20"/>
          <w:szCs w:val="20"/>
          <w:lang w:val="en-US"/>
        </w:rPr>
      </w:pPr>
      <w:bookmarkStart w:id="61" w:name="_Toc510701091"/>
      <w:bookmarkStart w:id="62" w:name="_Ref513740708"/>
      <w:bookmarkStart w:id="63" w:name="_Toc525888989"/>
      <w:bookmarkStart w:id="64" w:name="_Toc528859683"/>
      <w:r w:rsidRPr="005B639A">
        <w:rPr>
          <w:sz w:val="20"/>
          <w:szCs w:val="20"/>
          <w:lang w:val="en-US"/>
        </w:rPr>
        <w:t>The UE with NCC value provided during previous suspend always restore context, reactivate security, resume bearers, and derive AS keys before Msg3 transmission.</w:t>
      </w:r>
      <w:bookmarkEnd w:id="61"/>
      <w:bookmarkEnd w:id="62"/>
      <w:bookmarkEnd w:id="63"/>
      <w:bookmarkEnd w:id="64"/>
    </w:p>
    <w:p w14:paraId="3F5B9C4A" w14:textId="32967D32" w:rsidR="002B1B5F" w:rsidRPr="005B639A" w:rsidRDefault="004272ED" w:rsidP="004272ED">
      <w:pPr>
        <w:pStyle w:val="BodyText"/>
        <w:rPr>
          <w:rFonts w:cs="Arial"/>
          <w:sz w:val="20"/>
          <w:szCs w:val="20"/>
          <w:lang w:val="en-US"/>
        </w:rPr>
      </w:pPr>
      <w:r w:rsidRPr="005B639A">
        <w:rPr>
          <w:rFonts w:cs="Arial"/>
          <w:sz w:val="20"/>
          <w:szCs w:val="20"/>
          <w:lang w:val="en-US"/>
        </w:rPr>
        <w:t xml:space="preserve">In the latter case (without NCC from suspend), currently, the UE receives the NCC in </w:t>
      </w:r>
      <w:r w:rsidRPr="005B639A">
        <w:rPr>
          <w:rFonts w:cs="Arial"/>
          <w:i/>
          <w:sz w:val="20"/>
          <w:szCs w:val="20"/>
          <w:lang w:val="en-US"/>
        </w:rPr>
        <w:t>RRCConnectionResume</w:t>
      </w:r>
      <w:r w:rsidRPr="005B639A">
        <w:rPr>
          <w:rFonts w:cs="Arial"/>
          <w:sz w:val="20"/>
          <w:szCs w:val="20"/>
          <w:lang w:val="en-US"/>
        </w:rPr>
        <w:t xml:space="preserve"> message then activates security</w:t>
      </w:r>
      <w:r w:rsidR="00526B20" w:rsidRPr="005B639A">
        <w:rPr>
          <w:rFonts w:cs="Arial"/>
          <w:sz w:val="20"/>
          <w:szCs w:val="20"/>
          <w:lang w:val="en-US"/>
        </w:rPr>
        <w:t>,</w:t>
      </w:r>
      <w:r w:rsidRPr="005B639A">
        <w:rPr>
          <w:rFonts w:cs="Arial"/>
          <w:sz w:val="20"/>
          <w:szCs w:val="20"/>
          <w:lang w:val="en-US"/>
        </w:rPr>
        <w:t xml:space="preserve"> resumes bearers</w:t>
      </w:r>
      <w:r w:rsidR="00526B20" w:rsidRPr="005B639A">
        <w:rPr>
          <w:rFonts w:cs="Arial"/>
          <w:sz w:val="20"/>
          <w:szCs w:val="20"/>
          <w:lang w:val="en-US"/>
        </w:rPr>
        <w:t>,</w:t>
      </w:r>
      <w:r w:rsidRPr="005B639A">
        <w:rPr>
          <w:rFonts w:cs="Arial"/>
          <w:sz w:val="20"/>
          <w:szCs w:val="20"/>
          <w:lang w:val="en-US"/>
        </w:rPr>
        <w:t xml:space="preserve"> and configure</w:t>
      </w:r>
      <w:r w:rsidR="00526B20" w:rsidRPr="005B639A">
        <w:rPr>
          <w:rFonts w:cs="Arial"/>
          <w:sz w:val="20"/>
          <w:szCs w:val="20"/>
          <w:lang w:val="en-US"/>
        </w:rPr>
        <w:t>s</w:t>
      </w:r>
      <w:r w:rsidRPr="005B639A">
        <w:rPr>
          <w:rFonts w:cs="Arial"/>
          <w:sz w:val="20"/>
          <w:szCs w:val="20"/>
          <w:lang w:val="en-US"/>
        </w:rPr>
        <w:t xml:space="preserve"> the lower layers to apply the security keys from subsequent messages, as in section 5.3.3.4a in TS36.331 (also below):</w:t>
      </w:r>
    </w:p>
    <w:p w14:paraId="27A79309" w14:textId="78D97535" w:rsidR="004272ED" w:rsidRPr="0005667E" w:rsidRDefault="0095638D" w:rsidP="004272ED">
      <w:pPr>
        <w:pStyle w:val="B2"/>
        <w:rPr>
          <w:lang w:val="en-US"/>
        </w:rPr>
      </w:pPr>
      <w:r w:rsidRPr="0005667E">
        <w:rPr>
          <w:lang w:val="en-US"/>
        </w:rPr>
        <w:t>3</w:t>
      </w:r>
      <w:r w:rsidR="004272ED" w:rsidRPr="0005667E">
        <w:rPr>
          <w:lang w:val="en-US"/>
        </w:rPr>
        <w:t>&gt;</w:t>
      </w:r>
      <w:r w:rsidR="004272ED" w:rsidRPr="0005667E">
        <w:rPr>
          <w:lang w:val="en-US"/>
        </w:rPr>
        <w:tab/>
        <w:t>derive the K</w:t>
      </w:r>
      <w:r w:rsidR="004272ED" w:rsidRPr="0005667E">
        <w:rPr>
          <w:vertAlign w:val="subscript"/>
          <w:lang w:val="en-US"/>
        </w:rPr>
        <w:t>RRCenc</w:t>
      </w:r>
      <w:r w:rsidR="004272ED" w:rsidRPr="0005667E">
        <w:rPr>
          <w:lang w:val="en-US"/>
        </w:rPr>
        <w:t xml:space="preserve"> key </w:t>
      </w:r>
      <w:r w:rsidR="004272ED" w:rsidRPr="0005667E">
        <w:rPr>
          <w:lang w:val="en-US" w:eastAsia="zh-CN"/>
        </w:rPr>
        <w:t xml:space="preserve">and the </w:t>
      </w:r>
      <w:proofErr w:type="spellStart"/>
      <w:r w:rsidR="004272ED" w:rsidRPr="0005667E">
        <w:rPr>
          <w:lang w:val="en-US"/>
        </w:rPr>
        <w:t>K</w:t>
      </w:r>
      <w:r w:rsidR="004272ED" w:rsidRPr="0005667E">
        <w:rPr>
          <w:vertAlign w:val="subscript"/>
          <w:lang w:val="en-US"/>
        </w:rPr>
        <w:t>UPenc</w:t>
      </w:r>
      <w:proofErr w:type="spellEnd"/>
      <w:r w:rsidR="004272ED" w:rsidRPr="0005667E">
        <w:rPr>
          <w:lang w:val="en-US" w:eastAsia="zh-CN"/>
        </w:rPr>
        <w:t xml:space="preserve"> key</w:t>
      </w:r>
      <w:r w:rsidR="004272ED" w:rsidRPr="0005667E">
        <w:rPr>
          <w:lang w:val="en-US"/>
        </w:rPr>
        <w:t xml:space="preserve"> associated with the previously configured ciphering algorithm, as specified in TS 33.401 [32];</w:t>
      </w:r>
    </w:p>
    <w:p w14:paraId="62C07731" w14:textId="4CE5B71E" w:rsidR="004272ED" w:rsidRPr="0005667E" w:rsidRDefault="0095638D" w:rsidP="004272ED">
      <w:pPr>
        <w:pStyle w:val="B2"/>
        <w:rPr>
          <w:lang w:val="en-US"/>
        </w:rPr>
      </w:pPr>
      <w:r w:rsidRPr="0005667E">
        <w:rPr>
          <w:lang w:val="en-US"/>
        </w:rPr>
        <w:lastRenderedPageBreak/>
        <w:t>3</w:t>
      </w:r>
      <w:r w:rsidR="004272ED" w:rsidRPr="0005667E">
        <w:rPr>
          <w:lang w:val="en-US"/>
        </w:rPr>
        <w:t>&gt;</w:t>
      </w:r>
      <w:r w:rsidR="004272ED" w:rsidRPr="0005667E">
        <w:rPr>
          <w:lang w:val="en-US"/>
        </w:rPr>
        <w:tab/>
        <w:t>configure lower layers to resume integrity protection using the previously configured algorithm and the K</w:t>
      </w:r>
      <w:r w:rsidR="004272ED" w:rsidRPr="0005667E">
        <w:rPr>
          <w:vertAlign w:val="subscript"/>
          <w:lang w:val="en-US"/>
        </w:rPr>
        <w:t>RRCint</w:t>
      </w:r>
      <w:r w:rsidR="004272ED" w:rsidRPr="0005667E">
        <w:rPr>
          <w:lang w:val="en-US"/>
        </w:rPr>
        <w:t xml:space="preserve"> key immediately, i.e., integrity protection shall be applied to all subsequent messages received and sent by the UE;</w:t>
      </w:r>
    </w:p>
    <w:p w14:paraId="0CA9721D" w14:textId="4C5CDD62" w:rsidR="004272ED" w:rsidRPr="0005667E" w:rsidRDefault="0095638D" w:rsidP="004272ED">
      <w:pPr>
        <w:pStyle w:val="B2"/>
        <w:rPr>
          <w:lang w:val="en-US"/>
        </w:rPr>
      </w:pPr>
      <w:r w:rsidRPr="0005667E">
        <w:rPr>
          <w:lang w:val="en-US"/>
        </w:rPr>
        <w:t>3</w:t>
      </w:r>
      <w:r w:rsidR="004272ED" w:rsidRPr="0005667E">
        <w:rPr>
          <w:lang w:val="en-US"/>
        </w:rPr>
        <w:t>&gt;</w:t>
      </w:r>
      <w:r w:rsidR="004272ED" w:rsidRPr="0005667E">
        <w:rPr>
          <w:lang w:val="en-US"/>
        </w:rPr>
        <w:tab/>
      </w:r>
      <w:r w:rsidR="004272ED" w:rsidRPr="0005667E">
        <w:rPr>
          <w:u w:val="single"/>
          <w:lang w:val="en-US"/>
        </w:rPr>
        <w:t>configure lower layers to resume ciphering and to apply the ciphering algorithm</w:t>
      </w:r>
      <w:r w:rsidR="004272ED" w:rsidRPr="0005667E">
        <w:rPr>
          <w:u w:val="single"/>
          <w:lang w:val="en-US" w:eastAsia="zh-CN"/>
        </w:rPr>
        <w:t xml:space="preserve">, the </w:t>
      </w:r>
      <w:r w:rsidR="004272ED" w:rsidRPr="0005667E">
        <w:rPr>
          <w:u w:val="single"/>
          <w:lang w:val="en-US"/>
        </w:rPr>
        <w:t>K</w:t>
      </w:r>
      <w:r w:rsidR="004272ED" w:rsidRPr="0005667E">
        <w:rPr>
          <w:u w:val="single"/>
          <w:vertAlign w:val="subscript"/>
          <w:lang w:val="en-US"/>
        </w:rPr>
        <w:t>RRCenc</w:t>
      </w:r>
      <w:r w:rsidR="004272ED" w:rsidRPr="0005667E">
        <w:rPr>
          <w:u w:val="single"/>
          <w:lang w:val="en-US"/>
        </w:rPr>
        <w:t xml:space="preserve"> key</w:t>
      </w:r>
      <w:r w:rsidR="004272ED" w:rsidRPr="0005667E">
        <w:rPr>
          <w:u w:val="single"/>
          <w:lang w:val="en-US" w:eastAsia="zh-CN"/>
        </w:rPr>
        <w:t xml:space="preserve"> and the </w:t>
      </w:r>
      <w:proofErr w:type="spellStart"/>
      <w:r w:rsidR="004272ED" w:rsidRPr="0005667E">
        <w:rPr>
          <w:u w:val="single"/>
          <w:lang w:val="en-US"/>
        </w:rPr>
        <w:t>K</w:t>
      </w:r>
      <w:r w:rsidR="004272ED" w:rsidRPr="0005667E">
        <w:rPr>
          <w:u w:val="single"/>
          <w:vertAlign w:val="subscript"/>
          <w:lang w:val="en-US"/>
        </w:rPr>
        <w:t>UPenc</w:t>
      </w:r>
      <w:proofErr w:type="spellEnd"/>
      <w:r w:rsidR="004272ED" w:rsidRPr="0005667E">
        <w:rPr>
          <w:u w:val="single"/>
          <w:lang w:val="en-US" w:eastAsia="zh-CN"/>
        </w:rPr>
        <w:t xml:space="preserve"> key</w:t>
      </w:r>
      <w:r w:rsidR="004272ED" w:rsidRPr="0005667E">
        <w:rPr>
          <w:u w:val="single"/>
          <w:lang w:val="en-US"/>
        </w:rPr>
        <w:t>, i.e. the ciphering configuration shall be applied to all subsequent messages received and sent by the UE</w:t>
      </w:r>
      <w:r w:rsidR="004272ED" w:rsidRPr="0005667E">
        <w:rPr>
          <w:lang w:val="en-US"/>
        </w:rPr>
        <w:t>;</w:t>
      </w:r>
    </w:p>
    <w:p w14:paraId="5B8B77CF" w14:textId="77777777" w:rsidR="004272ED" w:rsidRPr="005B639A" w:rsidRDefault="004272ED" w:rsidP="004272ED">
      <w:pPr>
        <w:pStyle w:val="BodyText"/>
        <w:rPr>
          <w:rFonts w:cs="Arial"/>
          <w:sz w:val="20"/>
          <w:szCs w:val="20"/>
          <w:lang w:val="en-US"/>
        </w:rPr>
      </w:pPr>
      <w:r w:rsidRPr="005B639A">
        <w:rPr>
          <w:rFonts w:cs="Arial"/>
          <w:sz w:val="20"/>
          <w:szCs w:val="20"/>
          <w:lang w:val="en-US"/>
        </w:rPr>
        <w:t>It is possible for the UE to decode the ciphered DRB SDU in Msg4 if the UE activates security to all transmissions including the potential data part in Msg4. This means a minor change for the underlined text is needed.</w:t>
      </w:r>
    </w:p>
    <w:p w14:paraId="10801FA9" w14:textId="77777777" w:rsidR="004272ED" w:rsidRPr="005B639A" w:rsidRDefault="004272ED" w:rsidP="004272ED">
      <w:pPr>
        <w:pStyle w:val="Observation"/>
        <w:ind w:left="1710" w:hanging="1710"/>
        <w:rPr>
          <w:sz w:val="20"/>
          <w:szCs w:val="20"/>
          <w:lang w:val="en-US"/>
        </w:rPr>
      </w:pPr>
      <w:bookmarkStart w:id="65" w:name="_Toc525888979"/>
      <w:bookmarkStart w:id="66" w:name="_Toc528859674"/>
      <w:r w:rsidRPr="005B639A">
        <w:rPr>
          <w:sz w:val="20"/>
          <w:szCs w:val="20"/>
          <w:lang w:val="en-US"/>
        </w:rPr>
        <w:t>The UE without NCC provided during previous suspend can receive ciphered DL data in Msg4.</w:t>
      </w:r>
      <w:bookmarkEnd w:id="65"/>
      <w:bookmarkEnd w:id="66"/>
    </w:p>
    <w:p w14:paraId="1E4B599C" w14:textId="77777777" w:rsidR="004272ED" w:rsidRPr="005B639A" w:rsidRDefault="004272ED" w:rsidP="004272ED">
      <w:pPr>
        <w:pStyle w:val="Proposal"/>
        <w:tabs>
          <w:tab w:val="num" w:pos="1701"/>
          <w:tab w:val="num" w:pos="5557"/>
        </w:tabs>
        <w:rPr>
          <w:rFonts w:cs="Arial"/>
          <w:sz w:val="20"/>
          <w:szCs w:val="20"/>
          <w:lang w:val="en-US"/>
        </w:rPr>
      </w:pPr>
      <w:bookmarkStart w:id="67" w:name="_Toc525888990"/>
      <w:bookmarkStart w:id="68" w:name="_Toc528859684"/>
      <w:r w:rsidRPr="005B639A">
        <w:rPr>
          <w:sz w:val="20"/>
          <w:szCs w:val="20"/>
          <w:lang w:val="en-US"/>
        </w:rPr>
        <w:t xml:space="preserve">Without an NCC provided during previous suspend, upon reception of the </w:t>
      </w:r>
      <w:r w:rsidRPr="005B639A">
        <w:rPr>
          <w:i/>
          <w:sz w:val="20"/>
          <w:szCs w:val="20"/>
          <w:lang w:val="en-US"/>
        </w:rPr>
        <w:t>RRCConnectionResume</w:t>
      </w:r>
      <w:r w:rsidRPr="005B639A">
        <w:rPr>
          <w:sz w:val="20"/>
          <w:szCs w:val="20"/>
          <w:lang w:val="en-US"/>
        </w:rPr>
        <w:t xml:space="preserve">, the UE applies activated security to </w:t>
      </w:r>
      <w:r w:rsidRPr="005B639A">
        <w:rPr>
          <w:rFonts w:cs="Arial"/>
          <w:sz w:val="20"/>
          <w:szCs w:val="20"/>
          <w:lang w:val="en-US"/>
        </w:rPr>
        <w:t>all transmissions including potential data part in Msg4.</w:t>
      </w:r>
      <w:bookmarkEnd w:id="67"/>
      <w:bookmarkEnd w:id="68"/>
    </w:p>
    <w:p w14:paraId="4BB96686" w14:textId="77777777" w:rsidR="004272ED" w:rsidRPr="005B639A" w:rsidRDefault="004272ED" w:rsidP="004272ED">
      <w:pPr>
        <w:pStyle w:val="BodyText"/>
        <w:rPr>
          <w:rFonts w:cs="Arial"/>
          <w:sz w:val="20"/>
          <w:szCs w:val="20"/>
          <w:lang w:val="en-US"/>
        </w:rPr>
      </w:pPr>
      <w:r w:rsidRPr="005B639A">
        <w:rPr>
          <w:rFonts w:cs="Arial"/>
          <w:sz w:val="20"/>
          <w:szCs w:val="20"/>
          <w:lang w:val="en-US"/>
        </w:rPr>
        <w:t xml:space="preserve">In this case, the UE needs to send the </w:t>
      </w:r>
      <w:r w:rsidRPr="005B639A">
        <w:rPr>
          <w:rFonts w:cs="Arial"/>
          <w:i/>
          <w:sz w:val="20"/>
          <w:szCs w:val="20"/>
          <w:lang w:val="en-US"/>
        </w:rPr>
        <w:t>RRCConnectionResumeComplete</w:t>
      </w:r>
      <w:r w:rsidRPr="005B639A">
        <w:rPr>
          <w:rFonts w:cs="Arial"/>
          <w:sz w:val="20"/>
          <w:szCs w:val="20"/>
          <w:lang w:val="en-US"/>
        </w:rPr>
        <w:t xml:space="preserve"> in Msg5 in response to the </w:t>
      </w:r>
      <w:r w:rsidRPr="005B639A">
        <w:rPr>
          <w:rFonts w:cs="Arial"/>
          <w:i/>
          <w:sz w:val="20"/>
          <w:szCs w:val="20"/>
          <w:lang w:val="en-US"/>
        </w:rPr>
        <w:t>RRCConnectionResume</w:t>
      </w:r>
      <w:r w:rsidRPr="005B639A">
        <w:rPr>
          <w:rFonts w:cs="Arial"/>
          <w:sz w:val="20"/>
          <w:szCs w:val="20"/>
          <w:lang w:val="en-US"/>
        </w:rPr>
        <w:t xml:space="preserve"> as in Rel-13. The network can send the </w:t>
      </w:r>
      <w:r w:rsidRPr="005B639A">
        <w:rPr>
          <w:rFonts w:cs="Arial"/>
          <w:i/>
          <w:sz w:val="20"/>
          <w:szCs w:val="20"/>
          <w:lang w:val="en-US"/>
        </w:rPr>
        <w:t>RRCConnectionRelease</w:t>
      </w:r>
      <w:r w:rsidRPr="005B639A">
        <w:rPr>
          <w:rFonts w:cs="Arial"/>
          <w:sz w:val="20"/>
          <w:szCs w:val="20"/>
          <w:lang w:val="en-US"/>
        </w:rPr>
        <w:t xml:space="preserve"> with suspend indication and </w:t>
      </w:r>
      <w:proofErr w:type="spellStart"/>
      <w:r w:rsidRPr="005B639A">
        <w:rPr>
          <w:rFonts w:cs="Arial"/>
          <w:i/>
          <w:sz w:val="20"/>
          <w:szCs w:val="20"/>
          <w:lang w:val="en-US"/>
        </w:rPr>
        <w:t>resumeIdentity</w:t>
      </w:r>
      <w:proofErr w:type="spellEnd"/>
      <w:r w:rsidRPr="005B639A">
        <w:rPr>
          <w:rFonts w:cs="Arial"/>
          <w:sz w:val="20"/>
          <w:szCs w:val="20"/>
          <w:lang w:val="en-US"/>
        </w:rPr>
        <w:t xml:space="preserve"> if there is no more user data.</w:t>
      </w:r>
    </w:p>
    <w:p w14:paraId="229F0D01" w14:textId="5B6827C5" w:rsidR="004272ED" w:rsidRPr="005B639A" w:rsidRDefault="004272ED" w:rsidP="004272ED">
      <w:pPr>
        <w:pStyle w:val="BodyText"/>
        <w:rPr>
          <w:rFonts w:cs="Arial"/>
          <w:sz w:val="20"/>
          <w:szCs w:val="20"/>
          <w:lang w:val="en-US"/>
        </w:rPr>
      </w:pPr>
      <w:r w:rsidRPr="005B639A">
        <w:rPr>
          <w:rFonts w:cs="Arial"/>
          <w:sz w:val="20"/>
          <w:szCs w:val="20"/>
          <w:lang w:val="en-US"/>
        </w:rPr>
        <w:t xml:space="preserve">In MT UP-EDT, it is preferred that the eNB knows DL data size before building Msg4 so that it can determine whether the connection is needed or not, i.e., the UE can be </w:t>
      </w:r>
      <w:r w:rsidR="00BB7FA6" w:rsidRPr="005B639A">
        <w:rPr>
          <w:rFonts w:cs="Arial"/>
          <w:sz w:val="20"/>
          <w:szCs w:val="20"/>
          <w:lang w:val="en-US"/>
        </w:rPr>
        <w:t>released,</w:t>
      </w:r>
      <w:r w:rsidRPr="005B639A">
        <w:rPr>
          <w:rFonts w:cs="Arial"/>
          <w:sz w:val="20"/>
          <w:szCs w:val="20"/>
          <w:lang w:val="en-US"/>
        </w:rPr>
        <w:t xml:space="preserve"> or it should be kept in connected mode if more data transmission is expected. Thus, we think it would be </w:t>
      </w:r>
      <w:r w:rsidR="00526B20" w:rsidRPr="005B639A">
        <w:rPr>
          <w:rFonts w:cs="Arial"/>
          <w:sz w:val="20"/>
          <w:szCs w:val="20"/>
          <w:lang w:val="en-US"/>
        </w:rPr>
        <w:t>beneficial</w:t>
      </w:r>
      <w:r w:rsidRPr="005B639A">
        <w:rPr>
          <w:rFonts w:cs="Arial"/>
          <w:sz w:val="20"/>
          <w:szCs w:val="20"/>
          <w:lang w:val="en-US"/>
        </w:rPr>
        <w:t xml:space="preserve"> if information about DL data size is included in the Modify bearer procedure, as in Fig. 1. Once MME is aware of DL data size, it can include this information or an indication whether the connection can be released or not in the S1-AP UE context resume response in step 10 in Fig. 1. Depending on the received information, the eNB can decide whether to release the RRC connection, i.e., sending the UE the </w:t>
      </w:r>
      <w:r w:rsidRPr="005B639A">
        <w:rPr>
          <w:rFonts w:cs="Arial"/>
          <w:i/>
          <w:sz w:val="20"/>
          <w:szCs w:val="20"/>
          <w:lang w:val="en-US"/>
        </w:rPr>
        <w:t>RRCConnectionRelease</w:t>
      </w:r>
      <w:r w:rsidRPr="005B639A">
        <w:rPr>
          <w:rFonts w:cs="Arial"/>
          <w:sz w:val="20"/>
          <w:szCs w:val="20"/>
          <w:lang w:val="en-US"/>
        </w:rPr>
        <w:t xml:space="preserve"> in Msg4 or continue resuming the connection with the </w:t>
      </w:r>
      <w:r w:rsidRPr="005B639A">
        <w:rPr>
          <w:rFonts w:cs="Arial"/>
          <w:i/>
          <w:sz w:val="20"/>
          <w:szCs w:val="20"/>
          <w:lang w:val="en-US"/>
        </w:rPr>
        <w:t>RRCConnectionResume</w:t>
      </w:r>
      <w:r w:rsidRPr="005B639A">
        <w:rPr>
          <w:rFonts w:cs="Arial"/>
          <w:sz w:val="20"/>
          <w:szCs w:val="20"/>
          <w:lang w:val="en-US"/>
        </w:rPr>
        <w:t xml:space="preserve"> in Msg4</w:t>
      </w:r>
      <w:r w:rsidR="00526B20" w:rsidRPr="005B639A">
        <w:rPr>
          <w:rFonts w:cs="Arial"/>
          <w:sz w:val="20"/>
          <w:szCs w:val="20"/>
          <w:lang w:val="en-US"/>
        </w:rPr>
        <w:t>, respectively</w:t>
      </w:r>
      <w:r w:rsidRPr="005B639A">
        <w:rPr>
          <w:rFonts w:cs="Arial"/>
          <w:sz w:val="20"/>
          <w:szCs w:val="20"/>
          <w:lang w:val="en-US"/>
        </w:rPr>
        <w:t>. Thus, it is proposed to discuss and send an LS to RAN3/SA2/CT1 asking how to inform the eNB about DL data condition to determine whether the UE can be released or not.</w:t>
      </w:r>
    </w:p>
    <w:p w14:paraId="4AC2AF89" w14:textId="77777777" w:rsidR="004272ED" w:rsidRPr="005B639A" w:rsidRDefault="004272ED" w:rsidP="004272ED">
      <w:pPr>
        <w:pStyle w:val="Observation"/>
        <w:ind w:left="1710" w:hanging="1710"/>
        <w:rPr>
          <w:rFonts w:cs="Arial"/>
          <w:sz w:val="20"/>
          <w:szCs w:val="20"/>
          <w:lang w:val="en-US"/>
        </w:rPr>
      </w:pPr>
      <w:bookmarkStart w:id="69" w:name="_Toc525888980"/>
      <w:bookmarkStart w:id="70" w:name="_Toc528859675"/>
      <w:r w:rsidRPr="005B639A">
        <w:rPr>
          <w:sz w:val="20"/>
          <w:szCs w:val="20"/>
          <w:lang w:val="en-US"/>
        </w:rPr>
        <w:t>In MT UP-EDT, it is beneficial if the MME and/or eNB can be aware of DL data condition before Msg4 to determine whether to send the UE back to RRC_IDLE.</w:t>
      </w:r>
      <w:bookmarkEnd w:id="69"/>
      <w:bookmarkEnd w:id="70"/>
    </w:p>
    <w:p w14:paraId="5C4C09F3" w14:textId="21835521" w:rsidR="004272ED" w:rsidRPr="005B639A" w:rsidRDefault="004272ED" w:rsidP="00BB7FA6">
      <w:pPr>
        <w:pStyle w:val="Proposal"/>
        <w:tabs>
          <w:tab w:val="num" w:pos="1701"/>
          <w:tab w:val="num" w:pos="5557"/>
        </w:tabs>
        <w:rPr>
          <w:rFonts w:cs="Arial"/>
          <w:sz w:val="20"/>
          <w:szCs w:val="20"/>
          <w:lang w:val="en-US"/>
        </w:rPr>
      </w:pPr>
      <w:bookmarkStart w:id="71" w:name="_Toc525888991"/>
      <w:bookmarkStart w:id="72" w:name="_Ref525845651"/>
      <w:bookmarkStart w:id="73" w:name="_Toc528859685"/>
      <w:r w:rsidRPr="005B639A">
        <w:rPr>
          <w:sz w:val="20"/>
          <w:szCs w:val="20"/>
          <w:lang w:val="en-US"/>
        </w:rPr>
        <w:t>RAN2 send an LS to RAN3/SA2/CT1 asking how to inform the MME and/or eNB about DL data condition before it sends Msg4.</w:t>
      </w:r>
      <w:bookmarkEnd w:id="71"/>
      <w:bookmarkEnd w:id="72"/>
      <w:bookmarkEnd w:id="73"/>
    </w:p>
    <w:p w14:paraId="7E41D4D1" w14:textId="278FADCA" w:rsidR="00F63950" w:rsidRDefault="00230D18" w:rsidP="004272ED">
      <w:pPr>
        <w:pStyle w:val="Heading2"/>
      </w:pPr>
      <w:r>
        <w:t>2.2</w:t>
      </w:r>
      <w:r>
        <w:tab/>
      </w:r>
      <w:bookmarkStart w:id="74" w:name="_Ref517960056"/>
      <w:r w:rsidR="003B27F3">
        <w:t>MT CP-EDT</w:t>
      </w:r>
      <w:bookmarkEnd w:id="74"/>
    </w:p>
    <w:p w14:paraId="4D6EF89F" w14:textId="5667FF9B" w:rsidR="003B27F3" w:rsidRPr="005B639A" w:rsidRDefault="003B27F3" w:rsidP="003B27F3">
      <w:pPr>
        <w:pStyle w:val="BodyText"/>
        <w:rPr>
          <w:sz w:val="20"/>
          <w:szCs w:val="20"/>
          <w:lang w:val="en-US"/>
        </w:rPr>
      </w:pPr>
      <w:r w:rsidRPr="005B639A">
        <w:rPr>
          <w:sz w:val="20"/>
          <w:szCs w:val="20"/>
        </w:rPr>
        <w:fldChar w:fldCharType="begin"/>
      </w:r>
      <w:r w:rsidRPr="005B639A">
        <w:rPr>
          <w:sz w:val="20"/>
          <w:szCs w:val="20"/>
          <w:lang w:val="en-US"/>
        </w:rPr>
        <w:instrText xml:space="preserve"> REF _Ref524707327 \h  \* MERGEFORMAT </w:instrText>
      </w:r>
      <w:r w:rsidRPr="005B639A">
        <w:rPr>
          <w:sz w:val="20"/>
          <w:szCs w:val="20"/>
        </w:rPr>
      </w:r>
      <w:r w:rsidRPr="005B639A">
        <w:rPr>
          <w:sz w:val="20"/>
          <w:szCs w:val="20"/>
        </w:rPr>
        <w:fldChar w:fldCharType="separate"/>
      </w:r>
      <w:r w:rsidR="000A7DE0" w:rsidRPr="000A7DE0">
        <w:rPr>
          <w:sz w:val="20"/>
          <w:szCs w:val="20"/>
          <w:lang w:val="en-US"/>
        </w:rPr>
        <w:t>Figure 2</w:t>
      </w:r>
      <w:r w:rsidRPr="005B639A">
        <w:rPr>
          <w:sz w:val="20"/>
          <w:szCs w:val="20"/>
        </w:rPr>
        <w:fldChar w:fldCharType="end"/>
      </w:r>
      <w:r w:rsidRPr="005B639A">
        <w:rPr>
          <w:sz w:val="20"/>
          <w:szCs w:val="20"/>
          <w:lang w:val="en-US"/>
        </w:rPr>
        <w:t xml:space="preserve"> shows the signaling flow of the proposed MT CP-EDT solution. It is necessary for the DL data to be present at the MME before it builds a NAS-PDU to be piggybacked in the RRC message in Msg4.</w:t>
      </w:r>
    </w:p>
    <w:p w14:paraId="3544B797" w14:textId="77777777" w:rsidR="003B27F3" w:rsidRPr="005B639A" w:rsidRDefault="003B27F3" w:rsidP="003B27F3">
      <w:pPr>
        <w:pStyle w:val="Observation"/>
        <w:ind w:left="1710" w:hanging="1710"/>
        <w:rPr>
          <w:sz w:val="20"/>
          <w:szCs w:val="20"/>
          <w:lang w:val="en-US"/>
        </w:rPr>
      </w:pPr>
      <w:bookmarkStart w:id="75" w:name="_Toc525888981"/>
      <w:bookmarkStart w:id="76" w:name="_Toc528859676"/>
      <w:r w:rsidRPr="005B639A">
        <w:rPr>
          <w:sz w:val="20"/>
          <w:szCs w:val="20"/>
          <w:lang w:val="en-US"/>
        </w:rPr>
        <w:t>In MT CP-EDT, DL data needs to be present at the MME before eNB transmits Msg4.</w:t>
      </w:r>
      <w:bookmarkEnd w:id="75"/>
      <w:bookmarkEnd w:id="76"/>
    </w:p>
    <w:p w14:paraId="2843EECE" w14:textId="77777777" w:rsidR="003B27F3" w:rsidRPr="005B639A" w:rsidRDefault="003B27F3" w:rsidP="003B27F3">
      <w:pPr>
        <w:pStyle w:val="BodyText"/>
        <w:rPr>
          <w:rFonts w:cs="Arial"/>
          <w:sz w:val="20"/>
          <w:szCs w:val="20"/>
          <w:lang w:val="en-US"/>
        </w:rPr>
      </w:pPr>
      <w:r w:rsidRPr="005B639A">
        <w:rPr>
          <w:rFonts w:cs="Arial"/>
          <w:sz w:val="20"/>
          <w:szCs w:val="20"/>
          <w:lang w:val="en-US"/>
        </w:rPr>
        <w:t>However, it is not the case in current setup. Currently, the information about DL data size is not always available at the MME by the time the UE is paged. From Rel-13 CP for MT data transport, i.e., Fig. 5.3.4B.3-1 in TS 23.401 (see also the Appendix), MME may receive DL data from S-GW during the service request procedure, i.e., after Msg5 (step 11). This happens after paging procedures (steps 3-4).</w:t>
      </w:r>
    </w:p>
    <w:p w14:paraId="512D0B3C" w14:textId="77777777" w:rsidR="003B27F3" w:rsidRPr="005B639A" w:rsidRDefault="003B27F3" w:rsidP="003B27F3">
      <w:pPr>
        <w:pStyle w:val="Observation"/>
        <w:ind w:left="1710" w:hanging="1710"/>
        <w:rPr>
          <w:sz w:val="20"/>
          <w:szCs w:val="20"/>
          <w:lang w:val="en-US"/>
        </w:rPr>
      </w:pPr>
      <w:bookmarkStart w:id="77" w:name="_Toc525888982"/>
      <w:bookmarkStart w:id="78" w:name="_Toc528859677"/>
      <w:r w:rsidRPr="005B639A">
        <w:rPr>
          <w:sz w:val="20"/>
          <w:szCs w:val="20"/>
          <w:lang w:val="en-US"/>
        </w:rPr>
        <w:t>In Rel-13 MT CP solution, DL data is only forwarded to MME after Msg5.</w:t>
      </w:r>
      <w:bookmarkEnd w:id="77"/>
      <w:bookmarkEnd w:id="78"/>
    </w:p>
    <w:p w14:paraId="4814D1B1" w14:textId="77777777" w:rsidR="003B27F3" w:rsidRPr="005B639A" w:rsidRDefault="003B27F3" w:rsidP="003B27F3">
      <w:pPr>
        <w:pStyle w:val="BodyText"/>
        <w:rPr>
          <w:rFonts w:cs="Arial"/>
          <w:sz w:val="20"/>
          <w:szCs w:val="20"/>
          <w:lang w:val="en-US"/>
        </w:rPr>
      </w:pPr>
      <w:r w:rsidRPr="005B639A">
        <w:rPr>
          <w:rFonts w:cs="Arial"/>
          <w:sz w:val="20"/>
          <w:szCs w:val="20"/>
          <w:lang w:val="en-US"/>
        </w:rPr>
        <w:t>This requires establishment of a connection between MME and the S-GW or SCEF (in case of non-IP PDN connection) before Msg4.</w:t>
      </w:r>
      <w:r w:rsidRPr="005B639A">
        <w:rPr>
          <w:sz w:val="20"/>
          <w:szCs w:val="20"/>
          <w:lang w:val="en-US"/>
        </w:rPr>
        <w:t xml:space="preserve"> A possible way is to have the UE trigger such connection establishment. This implies that the RRC message in Msg3 cannot be the legacy </w:t>
      </w:r>
      <w:r w:rsidRPr="005B639A">
        <w:rPr>
          <w:rStyle w:val="IvDbodytextChar"/>
          <w:i/>
          <w:sz w:val="20"/>
          <w:szCs w:val="20"/>
          <w:lang w:val="en-US"/>
        </w:rPr>
        <w:t>RRCConnectionRequest</w:t>
      </w:r>
      <w:r w:rsidRPr="005B639A">
        <w:rPr>
          <w:rStyle w:val="IvDbodytextChar"/>
          <w:sz w:val="20"/>
          <w:szCs w:val="20"/>
          <w:lang w:val="en-US"/>
        </w:rPr>
        <w:t xml:space="preserve"> because the eNB does not send an Initial UE message to MME upon reception of this legacy message. This, in turn, implies that a UL grant larger than legacy for the non-legacy Msg3 should be provided in Msg2 and as a result the UE should ask for a large grant by selecting a EDT preamble in </w:t>
      </w:r>
      <w:r w:rsidRPr="005B639A">
        <w:rPr>
          <w:sz w:val="20"/>
          <w:szCs w:val="20"/>
          <w:lang w:val="en-US"/>
        </w:rPr>
        <w:t>Msg1, as in MO CP-EDT. To trigger the UE to initiate CP-EDT with EDT preamble in Msg1, an MT CP-EDT indication from the network is then needed. We propose to send such an MT CP-EDT indication via paging.</w:t>
      </w:r>
    </w:p>
    <w:p w14:paraId="61BD456C" w14:textId="77777777" w:rsidR="003B27F3" w:rsidRPr="005B639A" w:rsidRDefault="003B27F3" w:rsidP="003B27F3">
      <w:pPr>
        <w:pStyle w:val="Proposal"/>
        <w:tabs>
          <w:tab w:val="num" w:pos="1701"/>
          <w:tab w:val="num" w:pos="5557"/>
        </w:tabs>
        <w:rPr>
          <w:rFonts w:cs="Arial"/>
          <w:bCs w:val="0"/>
          <w:sz w:val="20"/>
          <w:szCs w:val="20"/>
          <w:lang w:val="en-US"/>
        </w:rPr>
      </w:pPr>
      <w:bookmarkStart w:id="79" w:name="_Toc525888992"/>
      <w:bookmarkStart w:id="80" w:name="_Toc528859686"/>
      <w:r w:rsidRPr="005B639A">
        <w:rPr>
          <w:sz w:val="20"/>
          <w:szCs w:val="20"/>
          <w:lang w:val="en-US"/>
        </w:rPr>
        <w:lastRenderedPageBreak/>
        <w:t>Network sends the UE an MT CP-EDT indication via paging.</w:t>
      </w:r>
      <w:bookmarkEnd w:id="79"/>
      <w:bookmarkEnd w:id="80"/>
    </w:p>
    <w:p w14:paraId="351D1D12" w14:textId="77777777" w:rsidR="003B27F3" w:rsidRPr="005B639A" w:rsidRDefault="003B27F3" w:rsidP="003B27F3">
      <w:pPr>
        <w:pStyle w:val="Proposal"/>
        <w:tabs>
          <w:tab w:val="num" w:pos="1701"/>
          <w:tab w:val="num" w:pos="5557"/>
        </w:tabs>
        <w:rPr>
          <w:rFonts w:cs="Arial"/>
          <w:bCs w:val="0"/>
          <w:sz w:val="20"/>
          <w:szCs w:val="20"/>
          <w:lang w:val="en-US"/>
        </w:rPr>
      </w:pPr>
      <w:bookmarkStart w:id="81" w:name="_Toc525888993"/>
      <w:bookmarkStart w:id="82" w:name="_Toc528859687"/>
      <w:r w:rsidRPr="005B639A">
        <w:rPr>
          <w:sz w:val="20"/>
          <w:szCs w:val="20"/>
          <w:lang w:val="en-US"/>
        </w:rPr>
        <w:t>For MT CP-EDT, the UE selects Rel-15 EDT preamble to transmit in Msg1.</w:t>
      </w:r>
      <w:bookmarkEnd w:id="81"/>
      <w:bookmarkEnd w:id="82"/>
    </w:p>
    <w:p w14:paraId="38F11767" w14:textId="79E344F3" w:rsidR="003B27F3" w:rsidRPr="005B639A" w:rsidRDefault="003B27F3" w:rsidP="003B27F3">
      <w:pPr>
        <w:pStyle w:val="BodyText"/>
        <w:rPr>
          <w:rFonts w:cs="Arial"/>
          <w:sz w:val="20"/>
          <w:szCs w:val="20"/>
          <w:lang w:val="en-US"/>
        </w:rPr>
      </w:pPr>
      <w:r w:rsidRPr="005B639A">
        <w:rPr>
          <w:rFonts w:cs="Arial"/>
          <w:sz w:val="20"/>
          <w:szCs w:val="20"/>
          <w:lang w:val="en-US"/>
        </w:rPr>
        <w:t xml:space="preserve">To enable the forwarding of DL data from S-GW to MME before the eNB sends Msg4, once the eNB receives Msg3, it should send </w:t>
      </w:r>
      <w:r w:rsidR="006D1F8D">
        <w:rPr>
          <w:rFonts w:cs="Arial"/>
          <w:sz w:val="20"/>
          <w:szCs w:val="20"/>
          <w:lang w:val="en-US"/>
        </w:rPr>
        <w:t xml:space="preserve">to </w:t>
      </w:r>
      <w:r w:rsidRPr="005B639A">
        <w:rPr>
          <w:rFonts w:cs="Arial"/>
          <w:sz w:val="20"/>
          <w:szCs w:val="20"/>
          <w:lang w:val="en-US"/>
        </w:rPr>
        <w:t xml:space="preserve">MME the S1-AP Initial UE message to </w:t>
      </w:r>
      <w:r w:rsidRPr="005B639A">
        <w:rPr>
          <w:sz w:val="20"/>
          <w:szCs w:val="20"/>
          <w:lang w:val="en-US"/>
        </w:rPr>
        <w:t>establish a connection between MME and S-GW</w:t>
      </w:r>
      <w:r w:rsidRPr="005B639A">
        <w:rPr>
          <w:rFonts w:cs="Arial"/>
          <w:sz w:val="20"/>
          <w:szCs w:val="20"/>
          <w:lang w:val="en-US"/>
        </w:rPr>
        <w:t xml:space="preserve">. Thus, it is proposed that the UE sends a </w:t>
      </w:r>
      <w:proofErr w:type="spellStart"/>
      <w:r w:rsidRPr="005B639A">
        <w:rPr>
          <w:rFonts w:cs="Arial"/>
          <w:i/>
          <w:sz w:val="20"/>
          <w:szCs w:val="20"/>
          <w:lang w:val="en-US"/>
        </w:rPr>
        <w:t>RRCEarlyDataRequest</w:t>
      </w:r>
      <w:proofErr w:type="spellEnd"/>
      <w:r w:rsidRPr="005B639A">
        <w:rPr>
          <w:rFonts w:cs="Arial"/>
          <w:sz w:val="20"/>
          <w:szCs w:val="20"/>
          <w:lang w:val="en-US"/>
        </w:rPr>
        <w:t xml:space="preserve"> in Msg3 even without UL data. Msg4 can be as in MO CP-EDT, i.e., including the </w:t>
      </w:r>
      <w:proofErr w:type="spellStart"/>
      <w:r w:rsidRPr="005B639A">
        <w:rPr>
          <w:rFonts w:cs="Arial"/>
          <w:i/>
          <w:sz w:val="20"/>
          <w:szCs w:val="20"/>
          <w:lang w:val="en-US"/>
        </w:rPr>
        <w:t>RRCEarlyDataComplete</w:t>
      </w:r>
      <w:proofErr w:type="spellEnd"/>
      <w:r w:rsidRPr="005B639A">
        <w:rPr>
          <w:rFonts w:cs="Arial"/>
          <w:sz w:val="20"/>
          <w:szCs w:val="20"/>
          <w:lang w:val="en-US"/>
        </w:rPr>
        <w:t xml:space="preserve"> in case of successful MT CP-EDT and the </w:t>
      </w:r>
      <w:r w:rsidRPr="0061112A">
        <w:rPr>
          <w:rFonts w:cs="Arial"/>
          <w:i/>
          <w:sz w:val="20"/>
          <w:szCs w:val="20"/>
          <w:lang w:val="en-US"/>
        </w:rPr>
        <w:t>RRCConnectionSetup</w:t>
      </w:r>
      <w:r w:rsidRPr="005B639A">
        <w:rPr>
          <w:rFonts w:cs="Arial"/>
          <w:sz w:val="20"/>
          <w:szCs w:val="20"/>
          <w:lang w:val="en-US"/>
        </w:rPr>
        <w:t xml:space="preserve"> in case the network wants the UE to continue setting up a connection.</w:t>
      </w:r>
    </w:p>
    <w:p w14:paraId="141B986C" w14:textId="77777777" w:rsidR="003B27F3" w:rsidRPr="005B639A" w:rsidRDefault="003B27F3" w:rsidP="003B27F3">
      <w:pPr>
        <w:pStyle w:val="BodyText"/>
        <w:rPr>
          <w:rFonts w:cs="Arial"/>
          <w:sz w:val="20"/>
          <w:szCs w:val="20"/>
          <w:lang w:val="en-US"/>
        </w:rPr>
      </w:pPr>
    </w:p>
    <w:p w14:paraId="01B31E16" w14:textId="77777777" w:rsidR="003B27F3" w:rsidRPr="005B639A" w:rsidRDefault="003B27F3" w:rsidP="003B27F3">
      <w:pPr>
        <w:pStyle w:val="BodyText"/>
        <w:jc w:val="center"/>
        <w:rPr>
          <w:rFonts w:cs="Arial"/>
          <w:sz w:val="20"/>
          <w:szCs w:val="20"/>
        </w:rPr>
      </w:pPr>
      <w:r w:rsidRPr="005B639A">
        <w:rPr>
          <w:rFonts w:cs="Arial"/>
          <w:noProof/>
          <w:sz w:val="20"/>
          <w:szCs w:val="20"/>
        </w:rPr>
        <w:drawing>
          <wp:inline distT="0" distB="0" distL="0" distR="0" wp14:anchorId="2C417750" wp14:editId="48820DC8">
            <wp:extent cx="5704238" cy="408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9265" cy="4089826"/>
                    </a:xfrm>
                    <a:prstGeom prst="rect">
                      <a:avLst/>
                    </a:prstGeom>
                    <a:noFill/>
                  </pic:spPr>
                </pic:pic>
              </a:graphicData>
            </a:graphic>
          </wp:inline>
        </w:drawing>
      </w:r>
    </w:p>
    <w:p w14:paraId="4F95E3F8" w14:textId="75B77CCB" w:rsidR="003B27F3" w:rsidRPr="005B639A" w:rsidRDefault="003B27F3" w:rsidP="009F3105">
      <w:pPr>
        <w:pStyle w:val="TF"/>
        <w:rPr>
          <w:sz w:val="20"/>
          <w:szCs w:val="20"/>
        </w:rPr>
      </w:pPr>
      <w:bookmarkStart w:id="83"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0A7DE0">
        <w:rPr>
          <w:noProof/>
          <w:sz w:val="20"/>
          <w:szCs w:val="20"/>
        </w:rPr>
        <w:t>2</w:t>
      </w:r>
      <w:r w:rsidRPr="005B639A">
        <w:rPr>
          <w:sz w:val="20"/>
          <w:szCs w:val="20"/>
        </w:rPr>
        <w:fldChar w:fldCharType="end"/>
      </w:r>
      <w:bookmarkEnd w:id="83"/>
      <w:r w:rsidRPr="005B639A">
        <w:rPr>
          <w:sz w:val="20"/>
          <w:szCs w:val="20"/>
        </w:rPr>
        <w:t>: Signaling flow for MT CP-EDT</w:t>
      </w:r>
    </w:p>
    <w:p w14:paraId="445780DB" w14:textId="77777777" w:rsidR="003B27F3" w:rsidRPr="005B639A" w:rsidRDefault="003B27F3" w:rsidP="003B27F3">
      <w:pPr>
        <w:pStyle w:val="Proposal"/>
        <w:tabs>
          <w:tab w:val="num" w:pos="1701"/>
          <w:tab w:val="num" w:pos="5557"/>
        </w:tabs>
        <w:rPr>
          <w:rFonts w:cs="Arial"/>
          <w:sz w:val="20"/>
          <w:szCs w:val="20"/>
          <w:lang w:val="en-US"/>
        </w:rPr>
      </w:pPr>
      <w:bookmarkStart w:id="84" w:name="_Toc525888994"/>
      <w:bookmarkStart w:id="85" w:name="_Toc528859688"/>
      <w:r w:rsidRPr="005B639A">
        <w:rPr>
          <w:sz w:val="20"/>
          <w:szCs w:val="20"/>
          <w:lang w:val="en-US"/>
        </w:rPr>
        <w:t xml:space="preserve">RRC messages in Msg3 and Msg4 for MO CP-EDT are used for MT CP-EDT. The UE sends the </w:t>
      </w:r>
      <w:proofErr w:type="spellStart"/>
      <w:r w:rsidRPr="005B639A">
        <w:rPr>
          <w:i/>
          <w:sz w:val="20"/>
          <w:szCs w:val="20"/>
          <w:lang w:val="en-US"/>
        </w:rPr>
        <w:t>RRCEarlyDataRequest</w:t>
      </w:r>
      <w:proofErr w:type="spellEnd"/>
      <w:r w:rsidRPr="005B639A">
        <w:rPr>
          <w:sz w:val="20"/>
          <w:szCs w:val="20"/>
          <w:lang w:val="en-US"/>
        </w:rPr>
        <w:t xml:space="preserve"> in Msg3 without UL data.</w:t>
      </w:r>
      <w:bookmarkEnd w:id="84"/>
      <w:bookmarkEnd w:id="85"/>
    </w:p>
    <w:p w14:paraId="6BF72148" w14:textId="77777777" w:rsidR="003B27F3" w:rsidRPr="005B639A" w:rsidRDefault="003B27F3" w:rsidP="003B27F3">
      <w:pPr>
        <w:pStyle w:val="BodyText"/>
        <w:rPr>
          <w:rFonts w:cs="Arial"/>
          <w:sz w:val="20"/>
          <w:szCs w:val="20"/>
          <w:lang w:val="en-US"/>
        </w:rPr>
      </w:pPr>
      <w:r w:rsidRPr="005B639A">
        <w:rPr>
          <w:rFonts w:cs="Arial"/>
          <w:sz w:val="20"/>
          <w:szCs w:val="20"/>
          <w:lang w:val="en-US"/>
        </w:rPr>
        <w:t xml:space="preserve">The </w:t>
      </w:r>
      <w:proofErr w:type="spellStart"/>
      <w:r w:rsidRPr="005B639A">
        <w:rPr>
          <w:rFonts w:cs="Arial"/>
          <w:i/>
          <w:sz w:val="20"/>
          <w:szCs w:val="20"/>
          <w:lang w:val="en-US"/>
        </w:rPr>
        <w:t>RRCEarlyDataRequest</w:t>
      </w:r>
      <w:proofErr w:type="spellEnd"/>
      <w:r w:rsidRPr="005B639A">
        <w:rPr>
          <w:rFonts w:cs="Arial"/>
          <w:sz w:val="20"/>
          <w:szCs w:val="20"/>
          <w:lang w:val="en-US"/>
        </w:rPr>
        <w:t xml:space="preserve"> has the dedicatedInfoNAS IE as a mandatory field. This IE contains the NAS-PDU and thus has NAS headers and control information as the unavoidable overhead. To get rid of the overhead, a new message might be defined to be included in MT CP-EDT Msg3. However, it is preferable to reuse the </w:t>
      </w:r>
      <w:proofErr w:type="spellStart"/>
      <w:r w:rsidRPr="005B639A">
        <w:rPr>
          <w:rFonts w:cs="Arial"/>
          <w:i/>
          <w:sz w:val="20"/>
          <w:szCs w:val="20"/>
          <w:lang w:val="en-US"/>
        </w:rPr>
        <w:t>RRCEarlyDataRequest</w:t>
      </w:r>
      <w:proofErr w:type="spellEnd"/>
      <w:r w:rsidRPr="005B639A">
        <w:rPr>
          <w:rFonts w:cs="Arial"/>
          <w:sz w:val="20"/>
          <w:szCs w:val="20"/>
          <w:lang w:val="en-US"/>
        </w:rPr>
        <w:t>. Without UL data in the NAS-PDU in Msg3, the UE may select one of the TBS values specified in MO EDT. However, there may be unnecessary large padding due to no UL data in Msg3. It is therefore proposed that the network provides UEs with a new TBS value for MT EDT Msg3.</w:t>
      </w:r>
    </w:p>
    <w:p w14:paraId="02C4AB31" w14:textId="77777777" w:rsidR="003B27F3" w:rsidRPr="005B639A" w:rsidRDefault="003B27F3" w:rsidP="003B27F3">
      <w:pPr>
        <w:pStyle w:val="Proposal"/>
        <w:tabs>
          <w:tab w:val="num" w:pos="1701"/>
          <w:tab w:val="num" w:pos="5557"/>
        </w:tabs>
        <w:rPr>
          <w:rFonts w:cs="Arial"/>
          <w:sz w:val="20"/>
          <w:szCs w:val="20"/>
        </w:rPr>
      </w:pPr>
      <w:bookmarkStart w:id="86" w:name="_Toc525888995"/>
      <w:bookmarkStart w:id="87" w:name="_Toc528859689"/>
      <w:r w:rsidRPr="005B639A">
        <w:rPr>
          <w:sz w:val="20"/>
          <w:szCs w:val="20"/>
          <w:lang w:val="en-US"/>
        </w:rPr>
        <w:t xml:space="preserve">The UE either selects the smallest suitable TBS value specified for MO EDT Msg3 or a new TBS value is defined for MT EDT Msg3. </w:t>
      </w:r>
      <w:r w:rsidRPr="005B639A">
        <w:rPr>
          <w:sz w:val="20"/>
          <w:szCs w:val="20"/>
        </w:rPr>
        <w:t>The latter is preferred.</w:t>
      </w:r>
      <w:bookmarkEnd w:id="86"/>
      <w:bookmarkEnd w:id="87"/>
    </w:p>
    <w:p w14:paraId="4DE816CB" w14:textId="77777777" w:rsidR="003B27F3" w:rsidRPr="005B639A" w:rsidRDefault="003B27F3" w:rsidP="003B27F3">
      <w:pPr>
        <w:pStyle w:val="BodyText"/>
        <w:rPr>
          <w:rFonts w:cs="Arial"/>
          <w:sz w:val="20"/>
          <w:szCs w:val="20"/>
          <w:lang w:val="en-US"/>
        </w:rPr>
      </w:pPr>
      <w:r w:rsidRPr="005B639A">
        <w:rPr>
          <w:rFonts w:cs="Arial"/>
          <w:sz w:val="20"/>
          <w:szCs w:val="20"/>
          <w:lang w:val="en-US"/>
        </w:rPr>
        <w:t xml:space="preserve">Regarding the trigger for RRC release in MT CP-EDT, it has been agreed in MO CP-EDT that </w:t>
      </w:r>
      <w:bookmarkStart w:id="88" w:name="_Hlk524710304"/>
      <w:r w:rsidRPr="005B639A">
        <w:rPr>
          <w:rFonts w:cs="Arial"/>
          <w:sz w:val="20"/>
          <w:szCs w:val="20"/>
          <w:lang w:val="en-US"/>
        </w:rPr>
        <w:t>the MME indicates to the eNB a two-valued “End indicator” to facilitate immediate release. It is to be specified how the MME can determine such an indication, i.e., based on what information. We think the End indicator can be used in MT CP-EDT and MME can determine this indication based on the information about DL data size.</w:t>
      </w:r>
    </w:p>
    <w:p w14:paraId="5BBF5917" w14:textId="77777777" w:rsidR="003B27F3" w:rsidRPr="005B639A" w:rsidRDefault="003B27F3" w:rsidP="003B27F3">
      <w:pPr>
        <w:pStyle w:val="Observation"/>
        <w:ind w:left="1710" w:hanging="1710"/>
        <w:rPr>
          <w:sz w:val="20"/>
          <w:szCs w:val="20"/>
          <w:lang w:val="en-US"/>
        </w:rPr>
      </w:pPr>
      <w:bookmarkStart w:id="89" w:name="_Toc525888983"/>
      <w:bookmarkStart w:id="90" w:name="_Toc528859678"/>
      <w:bookmarkEnd w:id="88"/>
      <w:r w:rsidRPr="005B639A">
        <w:rPr>
          <w:sz w:val="20"/>
          <w:szCs w:val="20"/>
          <w:lang w:val="en-US"/>
        </w:rPr>
        <w:t>“End indication” from MME to eNB introduced for MO CP-EDT can also be used to facilitate immediate release in MT CP-EDT.</w:t>
      </w:r>
      <w:bookmarkEnd w:id="89"/>
      <w:bookmarkEnd w:id="90"/>
    </w:p>
    <w:p w14:paraId="56C9B50D" w14:textId="2B57F9D5" w:rsidR="003B27F3" w:rsidRPr="005B639A" w:rsidRDefault="003B27F3" w:rsidP="003B27F3">
      <w:pPr>
        <w:pStyle w:val="BodyText"/>
        <w:rPr>
          <w:rFonts w:cs="Arial"/>
          <w:sz w:val="20"/>
          <w:szCs w:val="20"/>
          <w:lang w:val="en-US"/>
        </w:rPr>
      </w:pPr>
      <w:r w:rsidRPr="005B639A">
        <w:rPr>
          <w:rFonts w:cs="Arial"/>
          <w:sz w:val="20"/>
          <w:szCs w:val="20"/>
          <w:lang w:val="en-US"/>
        </w:rPr>
        <w:lastRenderedPageBreak/>
        <w:t xml:space="preserve">Similar to UP solution, the information about DL data size can be included in the Modify bearer procedure between MME and S-GW/SCEF (as in step 9, Fig. 2) so that the MME can decide to include the End indication in the S1-AP DL NAS message to facilitate the release </w:t>
      </w:r>
      <w:r w:rsidRPr="005B639A">
        <w:rPr>
          <w:rFonts w:cs="Arial"/>
          <w:sz w:val="20"/>
          <w:szCs w:val="20"/>
        </w:rPr>
        <w:fldChar w:fldCharType="begin"/>
      </w:r>
      <w:r w:rsidRPr="005B639A">
        <w:rPr>
          <w:rFonts w:cs="Arial"/>
          <w:sz w:val="20"/>
          <w:szCs w:val="20"/>
          <w:lang w:val="en-US"/>
        </w:rPr>
        <w:instrText xml:space="preserve"> REF _Ref518495387 \r \h </w:instrText>
      </w:r>
      <w:r w:rsidRPr="005B639A">
        <w:rPr>
          <w:rFonts w:cs="Arial"/>
          <w:sz w:val="20"/>
          <w:szCs w:val="20"/>
        </w:rPr>
      </w:r>
      <w:r w:rsidR="005B639A" w:rsidRPr="005B639A">
        <w:rPr>
          <w:rFonts w:cs="Arial"/>
          <w:sz w:val="20"/>
          <w:szCs w:val="20"/>
          <w:lang w:val="en-US"/>
        </w:rPr>
        <w:instrText xml:space="preserve"> \* MERGEFORMAT </w:instrText>
      </w:r>
      <w:r w:rsidRPr="005B639A">
        <w:rPr>
          <w:rFonts w:cs="Arial"/>
          <w:sz w:val="20"/>
          <w:szCs w:val="20"/>
        </w:rPr>
        <w:fldChar w:fldCharType="separate"/>
      </w:r>
      <w:r w:rsidR="000A7DE0">
        <w:rPr>
          <w:rFonts w:cs="Arial"/>
          <w:sz w:val="20"/>
          <w:szCs w:val="20"/>
          <w:lang w:val="en-US"/>
        </w:rPr>
        <w:t>[5]</w:t>
      </w:r>
      <w:r w:rsidRPr="005B639A">
        <w:rPr>
          <w:rFonts w:cs="Arial"/>
          <w:sz w:val="20"/>
          <w:szCs w:val="20"/>
        </w:rPr>
        <w:fldChar w:fldCharType="end"/>
      </w:r>
      <w:r w:rsidRPr="005B639A">
        <w:rPr>
          <w:rFonts w:cs="Arial"/>
          <w:sz w:val="20"/>
          <w:szCs w:val="20"/>
          <w:lang w:val="en-US"/>
        </w:rPr>
        <w:t xml:space="preserve">. Alternatively, the MME can send the eNB the S1-AP UE context release to request eNB to release the connection. Thus, RAN2 should </w:t>
      </w:r>
      <w:r w:rsidR="0061112A">
        <w:rPr>
          <w:rFonts w:cs="Arial"/>
          <w:sz w:val="20"/>
          <w:szCs w:val="20"/>
          <w:lang w:val="en-US"/>
        </w:rPr>
        <w:t xml:space="preserve">discuss and </w:t>
      </w:r>
      <w:r w:rsidRPr="005B639A">
        <w:rPr>
          <w:rFonts w:cs="Arial"/>
          <w:sz w:val="20"/>
          <w:szCs w:val="20"/>
          <w:lang w:val="en-US"/>
        </w:rPr>
        <w:t xml:space="preserve">send an LS to other WGs asking how this can be done (see also </w:t>
      </w:r>
      <w:r w:rsidRPr="005B639A">
        <w:rPr>
          <w:rFonts w:cs="Arial"/>
          <w:sz w:val="20"/>
          <w:szCs w:val="20"/>
        </w:rPr>
        <w:fldChar w:fldCharType="begin"/>
      </w:r>
      <w:r w:rsidRPr="005B639A">
        <w:rPr>
          <w:rFonts w:cs="Arial"/>
          <w:sz w:val="20"/>
          <w:szCs w:val="20"/>
          <w:lang w:val="en-US"/>
        </w:rPr>
        <w:instrText xml:space="preserve"> REF _Ref525845651 \r \h </w:instrText>
      </w:r>
      <w:r w:rsidRPr="005B639A">
        <w:rPr>
          <w:rFonts w:cs="Arial"/>
          <w:sz w:val="20"/>
          <w:szCs w:val="20"/>
        </w:rPr>
      </w:r>
      <w:r w:rsidR="005B639A" w:rsidRPr="005B639A">
        <w:rPr>
          <w:rFonts w:cs="Arial"/>
          <w:sz w:val="20"/>
          <w:szCs w:val="20"/>
          <w:lang w:val="en-US"/>
        </w:rPr>
        <w:instrText xml:space="preserve"> \* MERGEFORMAT </w:instrText>
      </w:r>
      <w:r w:rsidRPr="005B639A">
        <w:rPr>
          <w:rFonts w:cs="Arial"/>
          <w:sz w:val="20"/>
          <w:szCs w:val="20"/>
        </w:rPr>
        <w:fldChar w:fldCharType="separate"/>
      </w:r>
      <w:r w:rsidR="000A7DE0">
        <w:rPr>
          <w:rFonts w:cs="Arial"/>
          <w:sz w:val="20"/>
          <w:szCs w:val="20"/>
          <w:lang w:val="en-US"/>
        </w:rPr>
        <w:t>Proposal 6</w:t>
      </w:r>
      <w:r w:rsidRPr="005B639A">
        <w:rPr>
          <w:rFonts w:cs="Arial"/>
          <w:sz w:val="20"/>
          <w:szCs w:val="20"/>
        </w:rPr>
        <w:fldChar w:fldCharType="end"/>
      </w:r>
      <w:r w:rsidRPr="005B639A">
        <w:rPr>
          <w:rFonts w:cs="Arial"/>
          <w:sz w:val="20"/>
          <w:szCs w:val="20"/>
          <w:lang w:val="en-US"/>
        </w:rPr>
        <w:t>).</w:t>
      </w:r>
    </w:p>
    <w:p w14:paraId="13338A91" w14:textId="77777777" w:rsidR="003B27F3" w:rsidRPr="005B639A" w:rsidRDefault="003B27F3" w:rsidP="003B27F3">
      <w:pPr>
        <w:pStyle w:val="Observation"/>
        <w:ind w:left="1710" w:hanging="1710"/>
        <w:rPr>
          <w:rFonts w:cs="Arial"/>
          <w:sz w:val="20"/>
          <w:szCs w:val="20"/>
          <w:lang w:val="en-US"/>
        </w:rPr>
      </w:pPr>
      <w:bookmarkStart w:id="91" w:name="_Toc525888984"/>
      <w:bookmarkStart w:id="92" w:name="_Toc528859679"/>
      <w:r w:rsidRPr="005B639A">
        <w:rPr>
          <w:sz w:val="20"/>
          <w:szCs w:val="20"/>
          <w:lang w:val="en-US"/>
        </w:rPr>
        <w:t>In MT CP-EDT, it is beneficial if the MME can be aware of DL data condition before Msg4 to determine whether to send the UE back to RRC_IDLE.</w:t>
      </w:r>
      <w:bookmarkEnd w:id="91"/>
      <w:bookmarkEnd w:id="92"/>
    </w:p>
    <w:p w14:paraId="1B7AB498" w14:textId="3B57A428" w:rsidR="003B27F3" w:rsidRPr="0005667E" w:rsidRDefault="003B27F3" w:rsidP="003B27F3">
      <w:pPr>
        <w:pStyle w:val="BodyText"/>
        <w:rPr>
          <w:lang w:val="en-US"/>
        </w:rPr>
      </w:pPr>
      <w:r w:rsidRPr="005B639A">
        <w:rPr>
          <w:rFonts w:cs="Arial"/>
          <w:sz w:val="20"/>
          <w:szCs w:val="20"/>
          <w:lang w:val="en-US"/>
        </w:rPr>
        <w:t xml:space="preserve">In case there are more DL data, i.e., no End indication received in the S1-AP DL message, the eNB sends the legacy </w:t>
      </w:r>
      <w:r w:rsidRPr="005B639A">
        <w:rPr>
          <w:rFonts w:cs="Arial"/>
          <w:i/>
          <w:sz w:val="20"/>
          <w:szCs w:val="20"/>
          <w:lang w:val="en-US"/>
        </w:rPr>
        <w:t>RRCConnectionSetup</w:t>
      </w:r>
      <w:r w:rsidRPr="005B639A">
        <w:rPr>
          <w:rFonts w:cs="Arial"/>
          <w:sz w:val="20"/>
          <w:szCs w:val="20"/>
          <w:lang w:val="en-US"/>
        </w:rPr>
        <w:t xml:space="preserve"> to setup a connection for transmission of data in later messages.</w:t>
      </w:r>
    </w:p>
    <w:p w14:paraId="514A6D18" w14:textId="77777777" w:rsidR="00C01F33" w:rsidRPr="00CE0424" w:rsidRDefault="00C01F33" w:rsidP="00CE0424">
      <w:pPr>
        <w:pStyle w:val="Heading1"/>
      </w:pPr>
      <w:r w:rsidRPr="00CE0424">
        <w:t>Conclusion</w:t>
      </w:r>
    </w:p>
    <w:p w14:paraId="2F4818F9" w14:textId="77777777" w:rsidR="008E065E" w:rsidRPr="0061112A" w:rsidRDefault="008E065E" w:rsidP="008E065E">
      <w:pPr>
        <w:pStyle w:val="BodyText"/>
        <w:rPr>
          <w:b/>
          <w:bCs/>
          <w:sz w:val="20"/>
          <w:szCs w:val="20"/>
          <w:lang w:val="en-US"/>
        </w:rPr>
      </w:pPr>
      <w:r w:rsidRPr="0061112A">
        <w:rPr>
          <w:sz w:val="20"/>
          <w:szCs w:val="20"/>
          <w:lang w:val="en-US"/>
        </w:rPr>
        <w:t xml:space="preserve">In </w:t>
      </w:r>
      <w:r w:rsidR="007729A2" w:rsidRPr="0061112A">
        <w:rPr>
          <w:sz w:val="20"/>
          <w:szCs w:val="20"/>
          <w:lang w:val="en-US"/>
        </w:rPr>
        <w:t xml:space="preserve">the previous </w:t>
      </w:r>
      <w:r w:rsidRPr="0061112A">
        <w:rPr>
          <w:sz w:val="20"/>
          <w:szCs w:val="20"/>
          <w:lang w:val="en-US"/>
        </w:rPr>
        <w:t>section</w:t>
      </w:r>
      <w:r w:rsidR="007729A2" w:rsidRPr="0061112A">
        <w:rPr>
          <w:sz w:val="20"/>
          <w:szCs w:val="20"/>
          <w:lang w:val="en-US"/>
        </w:rPr>
        <w:t>s</w:t>
      </w:r>
      <w:r w:rsidRPr="0061112A">
        <w:rPr>
          <w:sz w:val="20"/>
          <w:szCs w:val="20"/>
          <w:lang w:val="en-US"/>
        </w:rPr>
        <w:t xml:space="preserve"> we made the following observations:</w:t>
      </w:r>
      <w:r w:rsidR="00C93814" w:rsidRPr="0061112A">
        <w:rPr>
          <w:b/>
          <w:bCs/>
          <w:sz w:val="20"/>
          <w:szCs w:val="20"/>
          <w:lang w:val="en-US"/>
        </w:rPr>
        <w:t xml:space="preserve"> </w:t>
      </w:r>
    </w:p>
    <w:p w14:paraId="2666EDA0" w14:textId="7043111F" w:rsidR="0061112A" w:rsidRPr="0061112A" w:rsidRDefault="006F6582">
      <w:pPr>
        <w:pStyle w:val="TableofFigures"/>
        <w:tabs>
          <w:tab w:val="right" w:leader="dot" w:pos="9629"/>
        </w:tabs>
        <w:rPr>
          <w:rFonts w:asciiTheme="minorHAnsi" w:eastAsiaTheme="minorEastAsia" w:hAnsiTheme="minorHAnsi"/>
          <w:b w:val="0"/>
          <w:noProof/>
          <w:sz w:val="20"/>
          <w:szCs w:val="20"/>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528859673" w:history="1">
        <w:r w:rsidR="0061112A" w:rsidRPr="0061112A">
          <w:rPr>
            <w:rStyle w:val="Hyperlink"/>
            <w:noProof/>
            <w:sz w:val="20"/>
            <w:szCs w:val="20"/>
            <w:lang w:val="en-US"/>
          </w:rPr>
          <w:t>Observation 1</w:t>
        </w:r>
        <w:r w:rsidR="0061112A" w:rsidRPr="0061112A">
          <w:rPr>
            <w:rFonts w:asciiTheme="minorHAnsi" w:eastAsiaTheme="minorEastAsia" w:hAnsiTheme="minorHAnsi"/>
            <w:b w:val="0"/>
            <w:noProof/>
            <w:sz w:val="20"/>
            <w:szCs w:val="20"/>
            <w:lang w:eastAsia="sv-SE"/>
          </w:rPr>
          <w:tab/>
        </w:r>
        <w:r w:rsidR="0061112A" w:rsidRPr="0061112A">
          <w:rPr>
            <w:rStyle w:val="Hyperlink"/>
            <w:rFonts w:cs="Arial"/>
            <w:noProof/>
            <w:sz w:val="20"/>
            <w:szCs w:val="20"/>
            <w:lang w:val="en-US"/>
          </w:rPr>
          <w:t xml:space="preserve">For UP solution, DL data can be multiplexed with the </w:t>
        </w:r>
        <w:r w:rsidR="0061112A" w:rsidRPr="0061112A">
          <w:rPr>
            <w:rStyle w:val="Hyperlink"/>
            <w:noProof/>
            <w:sz w:val="20"/>
            <w:szCs w:val="20"/>
            <w:lang w:val="en-US"/>
          </w:rPr>
          <w:t>RRCConnectionResume</w:t>
        </w:r>
        <w:r w:rsidR="0061112A" w:rsidRPr="0061112A">
          <w:rPr>
            <w:rStyle w:val="Hyperlink"/>
            <w:rFonts w:cs="Arial"/>
            <w:noProof/>
            <w:sz w:val="20"/>
            <w:szCs w:val="20"/>
            <w:lang w:val="en-US"/>
          </w:rPr>
          <w:t xml:space="preserve"> in Msg4.</w:t>
        </w:r>
      </w:hyperlink>
    </w:p>
    <w:p w14:paraId="55B6DDE7" w14:textId="646F05AB"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4" w:history="1">
        <w:r w:rsidRPr="0061112A">
          <w:rPr>
            <w:rStyle w:val="Hyperlink"/>
            <w:noProof/>
            <w:sz w:val="20"/>
            <w:szCs w:val="20"/>
            <w:lang w:val="en-US"/>
          </w:rPr>
          <w:t>Observation 2</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The UE without NCC provided during previous suspend can receive ciphered DL data in Msg4.</w:t>
        </w:r>
      </w:hyperlink>
    </w:p>
    <w:p w14:paraId="636BCB65" w14:textId="3D0B995F"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5" w:history="1">
        <w:r w:rsidRPr="0061112A">
          <w:rPr>
            <w:rStyle w:val="Hyperlink"/>
            <w:rFonts w:cs="Arial"/>
            <w:noProof/>
            <w:sz w:val="20"/>
            <w:szCs w:val="20"/>
            <w:lang w:val="en-US"/>
          </w:rPr>
          <w:t>Observation 3</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In MT UP-EDT, it is beneficial if the MME and/or eNB can be aware of DL data condition before Msg4 to determine whether to send the UE back to RRC_IDLE.</w:t>
        </w:r>
      </w:hyperlink>
    </w:p>
    <w:p w14:paraId="3966D1C9" w14:textId="202B3783"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6" w:history="1">
        <w:r w:rsidRPr="0061112A">
          <w:rPr>
            <w:rStyle w:val="Hyperlink"/>
            <w:noProof/>
            <w:sz w:val="20"/>
            <w:szCs w:val="20"/>
            <w:lang w:val="en-US"/>
          </w:rPr>
          <w:t>Observation 4</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In MT CP-EDT, DL data needs to be present at the MME before eNB transmits Msg4.</w:t>
        </w:r>
      </w:hyperlink>
    </w:p>
    <w:p w14:paraId="388ADBAB" w14:textId="79C0E220"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7" w:history="1">
        <w:r w:rsidRPr="0061112A">
          <w:rPr>
            <w:rStyle w:val="Hyperlink"/>
            <w:noProof/>
            <w:sz w:val="20"/>
            <w:szCs w:val="20"/>
            <w:lang w:val="en-US"/>
          </w:rPr>
          <w:t>Observation 5</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In Rel-13 MT CP solution, DL data is only forwarded to MME after Msg5.</w:t>
        </w:r>
      </w:hyperlink>
    </w:p>
    <w:p w14:paraId="421A0C2F" w14:textId="2F3258C5"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8" w:history="1">
        <w:r w:rsidRPr="0061112A">
          <w:rPr>
            <w:rStyle w:val="Hyperlink"/>
            <w:noProof/>
            <w:sz w:val="20"/>
            <w:szCs w:val="20"/>
            <w:lang w:val="en-US"/>
          </w:rPr>
          <w:t>Observation 6</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“End indication” from MME to eNB introduced for MO CP-EDT can also be used to facilitate immediate release in MT CP-EDT.</w:t>
        </w:r>
      </w:hyperlink>
    </w:p>
    <w:p w14:paraId="7C52317A" w14:textId="226261C1"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79" w:history="1">
        <w:r w:rsidRPr="0061112A">
          <w:rPr>
            <w:rStyle w:val="Hyperlink"/>
            <w:rFonts w:cs="Arial"/>
            <w:noProof/>
            <w:sz w:val="20"/>
            <w:szCs w:val="20"/>
            <w:lang w:val="en-US"/>
          </w:rPr>
          <w:t>Observation 7</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In MT CP-EDT, it is beneficial if the MME can be aware of DL data condition before Msg4 to determine whether to send the UE back to RRC_IDLE.</w:t>
        </w:r>
      </w:hyperlink>
    </w:p>
    <w:p w14:paraId="14D641B1" w14:textId="0BDFDE7C" w:rsidR="006E1C82" w:rsidRPr="0061112A" w:rsidRDefault="006F6582" w:rsidP="008E065E">
      <w:pPr>
        <w:pStyle w:val="BodyText"/>
        <w:rPr>
          <w:b/>
          <w:bCs/>
          <w:sz w:val="20"/>
          <w:szCs w:val="20"/>
        </w:rPr>
      </w:pPr>
      <w:r w:rsidRPr="0061112A">
        <w:rPr>
          <w:b/>
          <w:bCs/>
          <w:sz w:val="20"/>
          <w:szCs w:val="20"/>
        </w:rPr>
        <w:fldChar w:fldCharType="end"/>
      </w:r>
    </w:p>
    <w:p w14:paraId="7AA2DE7E" w14:textId="77777777" w:rsidR="006E1C82" w:rsidRPr="0061112A" w:rsidRDefault="008E065E" w:rsidP="006E1C82">
      <w:pPr>
        <w:pStyle w:val="BodyText"/>
        <w:rPr>
          <w:sz w:val="20"/>
          <w:szCs w:val="20"/>
          <w:lang w:val="en-US"/>
        </w:rPr>
      </w:pPr>
      <w:r w:rsidRPr="0061112A">
        <w:rPr>
          <w:sz w:val="20"/>
          <w:szCs w:val="20"/>
          <w:lang w:val="en-US"/>
        </w:rPr>
        <w:t xml:space="preserve">Based on the discussion in </w:t>
      </w:r>
      <w:r w:rsidR="007729A2" w:rsidRPr="0061112A">
        <w:rPr>
          <w:sz w:val="20"/>
          <w:szCs w:val="20"/>
          <w:lang w:val="en-US"/>
        </w:rPr>
        <w:t xml:space="preserve">the previous </w:t>
      </w:r>
      <w:r w:rsidRPr="0061112A">
        <w:rPr>
          <w:sz w:val="20"/>
          <w:szCs w:val="20"/>
          <w:lang w:val="en-US"/>
        </w:rPr>
        <w:t>section</w:t>
      </w:r>
      <w:r w:rsidR="007729A2" w:rsidRPr="0061112A">
        <w:rPr>
          <w:sz w:val="20"/>
          <w:szCs w:val="20"/>
          <w:lang w:val="en-US"/>
        </w:rPr>
        <w:t>s</w:t>
      </w:r>
      <w:r w:rsidRPr="0061112A">
        <w:rPr>
          <w:sz w:val="20"/>
          <w:szCs w:val="20"/>
          <w:lang w:val="en-US"/>
        </w:rPr>
        <w:t xml:space="preserve"> we propose the following:</w:t>
      </w:r>
    </w:p>
    <w:p w14:paraId="0E4B9E20" w14:textId="7C8A8918" w:rsidR="0061112A" w:rsidRPr="0061112A" w:rsidRDefault="006E1C82">
      <w:pPr>
        <w:pStyle w:val="TableofFigures"/>
        <w:tabs>
          <w:tab w:val="right" w:leader="dot" w:pos="9629"/>
        </w:tabs>
        <w:rPr>
          <w:rFonts w:asciiTheme="minorHAnsi" w:eastAsiaTheme="minorEastAsia" w:hAnsiTheme="minorHAnsi"/>
          <w:b w:val="0"/>
          <w:noProof/>
          <w:sz w:val="20"/>
          <w:szCs w:val="20"/>
          <w:lang w:eastAsia="sv-SE"/>
        </w:rPr>
      </w:pPr>
      <w:r w:rsidRPr="0061112A">
        <w:rPr>
          <w:b w:val="0"/>
          <w:bCs/>
          <w:sz w:val="20"/>
          <w:szCs w:val="20"/>
          <w:lang w:val="en-US"/>
        </w:rPr>
        <w:fldChar w:fldCharType="begin"/>
      </w:r>
      <w:r w:rsidRPr="0061112A">
        <w:rPr>
          <w:b w:val="0"/>
          <w:bCs/>
          <w:sz w:val="20"/>
          <w:szCs w:val="20"/>
          <w:lang w:val="en-US"/>
        </w:rPr>
        <w:instrText xml:space="preserve"> TOC \n \h \z \t "Proposal" \c </w:instrText>
      </w:r>
      <w:r w:rsidRPr="0061112A">
        <w:rPr>
          <w:b w:val="0"/>
          <w:bCs/>
          <w:sz w:val="20"/>
          <w:szCs w:val="20"/>
          <w:lang w:val="en-US"/>
        </w:rPr>
        <w:fldChar w:fldCharType="separate"/>
      </w:r>
      <w:hyperlink w:anchor="_Toc528859680" w:history="1">
        <w:r w:rsidR="0061112A" w:rsidRPr="0061112A">
          <w:rPr>
            <w:rStyle w:val="Hyperlink"/>
            <w:noProof/>
            <w:sz w:val="20"/>
            <w:szCs w:val="20"/>
            <w:lang w:val="en-US"/>
          </w:rPr>
          <w:t>Proposal 1</w:t>
        </w:r>
        <w:r w:rsidR="0061112A" w:rsidRPr="0061112A">
          <w:rPr>
            <w:rFonts w:asciiTheme="minorHAnsi" w:eastAsiaTheme="minorEastAsia" w:hAnsiTheme="minorHAnsi"/>
            <w:b w:val="0"/>
            <w:noProof/>
            <w:sz w:val="20"/>
            <w:szCs w:val="20"/>
            <w:lang w:eastAsia="sv-SE"/>
          </w:rPr>
          <w:tab/>
        </w:r>
        <w:r w:rsidR="0061112A" w:rsidRPr="0061112A">
          <w:rPr>
            <w:rStyle w:val="Hyperlink"/>
            <w:noProof/>
            <w:sz w:val="20"/>
            <w:szCs w:val="20"/>
            <w:lang w:val="en-US"/>
          </w:rPr>
          <w:t>For MT UP-EDT solution, no need for MT EDT indication from the network to the UE.</w:t>
        </w:r>
      </w:hyperlink>
    </w:p>
    <w:p w14:paraId="05FDF5E3" w14:textId="2AB27AF0"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1" w:history="1">
        <w:r w:rsidRPr="0061112A">
          <w:rPr>
            <w:rStyle w:val="Hyperlink"/>
            <w:rFonts w:cs="Arial"/>
            <w:noProof/>
            <w:sz w:val="20"/>
            <w:szCs w:val="20"/>
            <w:lang w:val="en-US"/>
          </w:rPr>
          <w:t>Proposal 2</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 xml:space="preserve">Legacy (i.e., non-EDT) Msg1 and Msg2 are used in MT UP-EDT solution </w:t>
        </w:r>
        <w:r w:rsidRPr="0061112A">
          <w:rPr>
            <w:rStyle w:val="Hyperlink"/>
            <w:rFonts w:cs="Arial"/>
            <w:noProof/>
            <w:sz w:val="20"/>
            <w:szCs w:val="20"/>
            <w:lang w:val="en-US"/>
          </w:rPr>
          <w:t>(i.e., for DL-only data case)</w:t>
        </w:r>
        <w:r w:rsidRPr="0061112A">
          <w:rPr>
            <w:rStyle w:val="Hyperlink"/>
            <w:noProof/>
            <w:sz w:val="20"/>
            <w:szCs w:val="20"/>
            <w:lang w:val="en-US"/>
          </w:rPr>
          <w:t>.</w:t>
        </w:r>
      </w:hyperlink>
    </w:p>
    <w:p w14:paraId="7ACECB25" w14:textId="091DCB13"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2" w:history="1">
        <w:r w:rsidRPr="0061112A">
          <w:rPr>
            <w:rStyle w:val="Hyperlink"/>
            <w:rFonts w:cs="Arial"/>
            <w:noProof/>
            <w:sz w:val="20"/>
            <w:szCs w:val="20"/>
            <w:lang w:val="en-US"/>
          </w:rPr>
          <w:t>Proposal 3</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 xml:space="preserve">RRC messages in Msg3 and Msg4 in MO UP-EDT are used for MT UP-EDT. </w:t>
        </w:r>
        <w:r w:rsidRPr="0061112A">
          <w:rPr>
            <w:rStyle w:val="Hyperlink"/>
            <w:rFonts w:cs="Arial"/>
            <w:noProof/>
            <w:sz w:val="20"/>
            <w:szCs w:val="20"/>
            <w:lang w:val="en-US"/>
          </w:rPr>
          <w:t xml:space="preserve">In DL-only data case, </w:t>
        </w:r>
        <w:r w:rsidRPr="0061112A">
          <w:rPr>
            <w:rStyle w:val="Hyperlink"/>
            <w:noProof/>
            <w:sz w:val="20"/>
            <w:szCs w:val="20"/>
            <w:lang w:val="en-US"/>
          </w:rPr>
          <w:t>there is no UL data in Msg3.</w:t>
        </w:r>
      </w:hyperlink>
    </w:p>
    <w:p w14:paraId="6A5447CB" w14:textId="5B9E7078"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3" w:history="1">
        <w:r w:rsidRPr="0061112A">
          <w:rPr>
            <w:rStyle w:val="Hyperlink"/>
            <w:rFonts w:cs="Arial"/>
            <w:noProof/>
            <w:sz w:val="20"/>
            <w:szCs w:val="20"/>
            <w:lang w:val="en-US"/>
          </w:rPr>
          <w:t>Proposal 4</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The UE with NCC value provided during previous suspend always restore context, reactivate security, resume bearers, and derive AS keys before Msg3 transmission.</w:t>
        </w:r>
      </w:hyperlink>
    </w:p>
    <w:p w14:paraId="3E53329A" w14:textId="01DC5B4D"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4" w:history="1">
        <w:r w:rsidRPr="0061112A">
          <w:rPr>
            <w:rStyle w:val="Hyperlink"/>
            <w:rFonts w:cs="Arial"/>
            <w:noProof/>
            <w:sz w:val="20"/>
            <w:szCs w:val="20"/>
            <w:lang w:val="en-US"/>
          </w:rPr>
          <w:t>Proposal 5</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 xml:space="preserve">Without an NCC provided during previous suspend, upon reception of the </w:t>
        </w:r>
        <w:r w:rsidRPr="0061112A">
          <w:rPr>
            <w:rStyle w:val="Hyperlink"/>
            <w:i/>
            <w:noProof/>
            <w:sz w:val="20"/>
            <w:szCs w:val="20"/>
            <w:lang w:val="en-US"/>
          </w:rPr>
          <w:t>RRCConnectionResume</w:t>
        </w:r>
        <w:r w:rsidRPr="0061112A">
          <w:rPr>
            <w:rStyle w:val="Hyperlink"/>
            <w:noProof/>
            <w:sz w:val="20"/>
            <w:szCs w:val="20"/>
            <w:lang w:val="en-US"/>
          </w:rPr>
          <w:t xml:space="preserve">, the UE applies activated security to </w:t>
        </w:r>
        <w:r w:rsidRPr="0061112A">
          <w:rPr>
            <w:rStyle w:val="Hyperlink"/>
            <w:rFonts w:cs="Arial"/>
            <w:noProof/>
            <w:sz w:val="20"/>
            <w:szCs w:val="20"/>
            <w:lang w:val="en-US"/>
          </w:rPr>
          <w:t>all transmissions including potential data part in Msg4.</w:t>
        </w:r>
      </w:hyperlink>
    </w:p>
    <w:p w14:paraId="18C92174" w14:textId="15C80DFB"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5" w:history="1">
        <w:r w:rsidRPr="0061112A">
          <w:rPr>
            <w:rStyle w:val="Hyperlink"/>
            <w:rFonts w:cs="Arial"/>
            <w:noProof/>
            <w:sz w:val="20"/>
            <w:szCs w:val="20"/>
            <w:lang w:val="en-US"/>
          </w:rPr>
          <w:t>Proposal 6</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RAN2 send an LS to RAN3/SA2/CT1 asking how to inform the MME and/or eNB about DL data condition before it sends Msg4.</w:t>
        </w:r>
      </w:hyperlink>
    </w:p>
    <w:p w14:paraId="77151B01" w14:textId="74F8130B"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6" w:history="1">
        <w:r w:rsidRPr="0061112A">
          <w:rPr>
            <w:rStyle w:val="Hyperlink"/>
            <w:rFonts w:cs="Arial"/>
            <w:noProof/>
            <w:sz w:val="20"/>
            <w:szCs w:val="20"/>
            <w:lang w:val="en-US"/>
          </w:rPr>
          <w:t>Proposal 7</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Network sends the UE an MT CP-EDT indication via paging.</w:t>
        </w:r>
      </w:hyperlink>
    </w:p>
    <w:p w14:paraId="7FB9FA95" w14:textId="45153811"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7" w:history="1">
        <w:r w:rsidRPr="0061112A">
          <w:rPr>
            <w:rStyle w:val="Hyperlink"/>
            <w:rFonts w:cs="Arial"/>
            <w:noProof/>
            <w:sz w:val="20"/>
            <w:szCs w:val="20"/>
            <w:lang w:val="en-US"/>
          </w:rPr>
          <w:t>Proposal 8</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For MT CP-EDT, the UE selects Rel-15 EDT preamble to transmit in Msg1.</w:t>
        </w:r>
      </w:hyperlink>
    </w:p>
    <w:p w14:paraId="1CCF24D6" w14:textId="6B87D191"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8" w:history="1">
        <w:r w:rsidRPr="0061112A">
          <w:rPr>
            <w:rStyle w:val="Hyperlink"/>
            <w:rFonts w:cs="Arial"/>
            <w:noProof/>
            <w:sz w:val="20"/>
            <w:szCs w:val="20"/>
            <w:lang w:val="en-US"/>
          </w:rPr>
          <w:t>Proposal 9</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 xml:space="preserve">RRC messages in Msg3 and Msg4 for MO CP-EDT are used for MT CP-EDT. The UE sends the </w:t>
        </w:r>
        <w:r w:rsidRPr="0061112A">
          <w:rPr>
            <w:rStyle w:val="Hyperlink"/>
            <w:i/>
            <w:noProof/>
            <w:sz w:val="20"/>
            <w:szCs w:val="20"/>
            <w:lang w:val="en-US"/>
          </w:rPr>
          <w:t>RRCEarlyDataRequest</w:t>
        </w:r>
        <w:r w:rsidRPr="0061112A">
          <w:rPr>
            <w:rStyle w:val="Hyperlink"/>
            <w:noProof/>
            <w:sz w:val="20"/>
            <w:szCs w:val="20"/>
            <w:lang w:val="en-US"/>
          </w:rPr>
          <w:t xml:space="preserve"> in Msg3 without UL data.</w:t>
        </w:r>
      </w:hyperlink>
    </w:p>
    <w:p w14:paraId="51C4DF36" w14:textId="3F10833B" w:rsidR="0061112A" w:rsidRPr="0061112A" w:rsidRDefault="0061112A">
      <w:pPr>
        <w:pStyle w:val="TableofFigures"/>
        <w:tabs>
          <w:tab w:val="right" w:leader="dot" w:pos="9629"/>
        </w:tabs>
        <w:rPr>
          <w:rFonts w:asciiTheme="minorHAnsi" w:eastAsiaTheme="minorEastAsia" w:hAnsiTheme="minorHAnsi"/>
          <w:b w:val="0"/>
          <w:noProof/>
          <w:sz w:val="20"/>
          <w:szCs w:val="20"/>
          <w:lang w:eastAsia="sv-SE"/>
        </w:rPr>
      </w:pPr>
      <w:hyperlink w:anchor="_Toc528859689" w:history="1">
        <w:r w:rsidRPr="0061112A">
          <w:rPr>
            <w:rStyle w:val="Hyperlink"/>
            <w:rFonts w:cs="Arial"/>
            <w:noProof/>
            <w:sz w:val="20"/>
            <w:szCs w:val="20"/>
          </w:rPr>
          <w:t>Proposal 10</w:t>
        </w:r>
        <w:r w:rsidRPr="0061112A">
          <w:rPr>
            <w:rFonts w:asciiTheme="minorHAnsi" w:eastAsiaTheme="minorEastAsia" w:hAnsiTheme="minorHAnsi"/>
            <w:b w:val="0"/>
            <w:noProof/>
            <w:sz w:val="20"/>
            <w:szCs w:val="20"/>
            <w:lang w:eastAsia="sv-SE"/>
          </w:rPr>
          <w:tab/>
        </w:r>
        <w:r w:rsidRPr="0061112A">
          <w:rPr>
            <w:rStyle w:val="Hyperlink"/>
            <w:noProof/>
            <w:sz w:val="20"/>
            <w:szCs w:val="20"/>
            <w:lang w:val="en-US"/>
          </w:rPr>
          <w:t xml:space="preserve">The UE either selects the smallest suitable TBS value specified for MO EDT Msg3 or a new TBS value is defined for MT EDT Msg3. </w:t>
        </w:r>
        <w:r w:rsidRPr="0061112A">
          <w:rPr>
            <w:rStyle w:val="Hyperlink"/>
            <w:noProof/>
            <w:sz w:val="20"/>
            <w:szCs w:val="20"/>
          </w:rPr>
          <w:t>The latter is preferred.</w:t>
        </w:r>
      </w:hyperlink>
    </w:p>
    <w:p w14:paraId="67C80AB7" w14:textId="13359A66" w:rsidR="00C01F33" w:rsidRPr="00CE0424" w:rsidRDefault="006E1C82" w:rsidP="0061112A">
      <w:pPr>
        <w:pStyle w:val="BodyText"/>
      </w:pPr>
      <w:r w:rsidRPr="0061112A">
        <w:rPr>
          <w:b/>
          <w:bCs/>
          <w:sz w:val="20"/>
          <w:szCs w:val="20"/>
          <w:lang w:val="en-US"/>
        </w:rPr>
        <w:lastRenderedPageBreak/>
        <w:fldChar w:fldCharType="end"/>
      </w:r>
    </w:p>
    <w:p w14:paraId="004FF4E9" w14:textId="77777777" w:rsidR="00F507D1" w:rsidRPr="00CE0424" w:rsidRDefault="00F507D1" w:rsidP="00CE0424">
      <w:pPr>
        <w:pStyle w:val="Heading1"/>
      </w:pPr>
      <w:bookmarkStart w:id="93" w:name="_In-sequence_SDU_delivery"/>
      <w:bookmarkEnd w:id="93"/>
      <w:r w:rsidRPr="00CE0424">
        <w:t>References</w:t>
      </w:r>
    </w:p>
    <w:p w14:paraId="0AA8E942" w14:textId="77777777" w:rsidR="0095638D" w:rsidRPr="0005667E" w:rsidRDefault="0095638D" w:rsidP="0095638D">
      <w:pPr>
        <w:pStyle w:val="Reference"/>
        <w:rPr>
          <w:lang w:val="en-US"/>
        </w:rPr>
      </w:pPr>
      <w:bookmarkStart w:id="94" w:name="_Ref527643683"/>
      <w:bookmarkStart w:id="95" w:name="_Ref527643528"/>
      <w:bookmarkStart w:id="96" w:name="_Ref525839062"/>
      <w:bookmarkStart w:id="97" w:name="_Ref524609457"/>
      <w:bookmarkStart w:id="98" w:name="_Ref513739289"/>
      <w:bookmarkStart w:id="99" w:name="_Ref174151459"/>
      <w:bookmarkStart w:id="100" w:name="_Ref189809556"/>
      <w:r w:rsidRPr="000533D5">
        <w:rPr>
          <w:lang w:val="en-US"/>
        </w:rPr>
        <w:t>RP-181878</w:t>
      </w:r>
      <w:r w:rsidRPr="005E2698">
        <w:rPr>
          <w:lang w:val="en-US"/>
        </w:rPr>
        <w:t>, “Revised WID: Additional MTC enhancements for LTE”</w:t>
      </w:r>
      <w:r>
        <w:rPr>
          <w:lang w:val="en-US"/>
        </w:rPr>
        <w:t>, RAN#80, June 2018</w:t>
      </w:r>
      <w:bookmarkEnd w:id="94"/>
    </w:p>
    <w:p w14:paraId="0D094CA4" w14:textId="77777777" w:rsidR="0095638D" w:rsidRPr="0005667E" w:rsidRDefault="0095638D" w:rsidP="0095638D">
      <w:pPr>
        <w:pStyle w:val="Reference"/>
        <w:rPr>
          <w:lang w:val="en-US"/>
        </w:rPr>
      </w:pPr>
      <w:bookmarkStart w:id="101" w:name="_Ref527643692"/>
      <w:r w:rsidRPr="000533D5">
        <w:rPr>
          <w:lang w:val="en-US"/>
        </w:rPr>
        <w:t>RP-181674</w:t>
      </w:r>
      <w:r w:rsidRPr="005E2698">
        <w:rPr>
          <w:lang w:val="en-US"/>
        </w:rPr>
        <w:t>, “WID revision: Additional enhancements for NB-IoT”</w:t>
      </w:r>
      <w:r>
        <w:rPr>
          <w:lang w:val="en-US"/>
        </w:rPr>
        <w:t>, RAN#80, June 2018</w:t>
      </w:r>
      <w:bookmarkEnd w:id="101"/>
    </w:p>
    <w:p w14:paraId="274604C0" w14:textId="2720E9F7" w:rsidR="00EA060C" w:rsidRPr="0005667E" w:rsidRDefault="00EA060C" w:rsidP="00606615">
      <w:pPr>
        <w:pStyle w:val="Reference"/>
        <w:rPr>
          <w:lang w:val="en-US"/>
        </w:rPr>
      </w:pPr>
      <w:bookmarkStart w:id="102" w:name="_Ref527643660"/>
      <w:r w:rsidRPr="0005667E">
        <w:rPr>
          <w:lang w:val="en-US"/>
        </w:rPr>
        <w:t>R2-1815744, “RAN2 agreements for Rel-16 NB-IoT and MTC after RAN2-103bis”, RAN2#103bis, October 2018</w:t>
      </w:r>
      <w:bookmarkEnd w:id="102"/>
    </w:p>
    <w:bookmarkStart w:id="103" w:name="_Ref527643720"/>
    <w:p w14:paraId="2E152771" w14:textId="1B5D65D5" w:rsidR="00606615" w:rsidRPr="0005667E" w:rsidRDefault="00606615" w:rsidP="0005667E">
      <w:pPr>
        <w:pStyle w:val="Reference"/>
        <w:rPr>
          <w:lang w:val="en-US"/>
        </w:rPr>
      </w:pPr>
      <w:r w:rsidRPr="00DF483A">
        <w:fldChar w:fldCharType="begin"/>
      </w:r>
      <w:r w:rsidRPr="0005667E">
        <w:rPr>
          <w:lang w:val="en-US"/>
        </w:rPr>
        <w:instrText xml:space="preserve"> HYPERLINK "http://www.3gpp.org/ftp/TSG_RAN/WG2_RL2/TSGR2_102/Docs/R2-1807849.zip" \h </w:instrText>
      </w:r>
      <w:r w:rsidRPr="00DF483A">
        <w:fldChar w:fldCharType="separate"/>
      </w:r>
      <w:r w:rsidRPr="0005667E">
        <w:rPr>
          <w:lang w:val="en-US"/>
        </w:rPr>
        <w:t>R2-</w:t>
      </w:r>
      <w:r w:rsidR="0005667E" w:rsidRPr="0005667E">
        <w:rPr>
          <w:lang w:val="en-US"/>
        </w:rPr>
        <w:t xml:space="preserve"> 1816635</w:t>
      </w:r>
      <w:r w:rsidRPr="00DF483A">
        <w:fldChar w:fldCharType="end"/>
      </w:r>
      <w:r w:rsidRPr="0005667E">
        <w:rPr>
          <w:lang w:val="en-US"/>
        </w:rPr>
        <w:t>, “</w:t>
      </w:r>
      <w:r w:rsidR="00C8728D" w:rsidRPr="0005667E">
        <w:rPr>
          <w:lang w:val="en-US"/>
        </w:rPr>
        <w:t>General considerations in MT EDT</w:t>
      </w:r>
      <w:r w:rsidRPr="0005667E">
        <w:rPr>
          <w:lang w:val="en-US"/>
        </w:rPr>
        <w:t xml:space="preserve">”, source </w:t>
      </w:r>
      <w:r w:rsidR="0005667E" w:rsidRPr="0005667E">
        <w:rPr>
          <w:lang w:val="en-US"/>
        </w:rPr>
        <w:t>Ericsson</w:t>
      </w:r>
      <w:r w:rsidRPr="0005667E">
        <w:rPr>
          <w:lang w:val="en-US"/>
        </w:rPr>
        <w:t>, RAN2#104, November 2018</w:t>
      </w:r>
      <w:bookmarkEnd w:id="95"/>
      <w:bookmarkEnd w:id="103"/>
    </w:p>
    <w:p w14:paraId="1CB36493" w14:textId="2B7F9A7E" w:rsidR="00DF2EF2" w:rsidRPr="0005667E" w:rsidRDefault="00DF2EF2" w:rsidP="00DF2EF2">
      <w:pPr>
        <w:pStyle w:val="Reference"/>
        <w:rPr>
          <w:lang w:val="en-US"/>
        </w:rPr>
      </w:pPr>
      <w:bookmarkStart w:id="104" w:name="_Ref518495387"/>
      <w:bookmarkEnd w:id="96"/>
      <w:bookmarkEnd w:id="97"/>
      <w:bookmarkEnd w:id="98"/>
      <w:r w:rsidRPr="0005667E">
        <w:rPr>
          <w:lang w:val="en-US"/>
        </w:rPr>
        <w:t xml:space="preserve">S2-185713, “Introducing Early Data Transmission for Control Plane </w:t>
      </w:r>
      <w:proofErr w:type="spellStart"/>
      <w:r w:rsidRPr="0005667E">
        <w:rPr>
          <w:lang w:val="en-US"/>
        </w:rPr>
        <w:t>CIoT</w:t>
      </w:r>
      <w:proofErr w:type="spellEnd"/>
      <w:r w:rsidRPr="0005667E">
        <w:rPr>
          <w:lang w:val="en-US"/>
        </w:rPr>
        <w:t xml:space="preserve"> EPS optimization”, source Qualcomm Incorporated, Huawei, </w:t>
      </w:r>
      <w:proofErr w:type="spellStart"/>
      <w:r w:rsidRPr="0005667E">
        <w:rPr>
          <w:lang w:val="en-US"/>
        </w:rPr>
        <w:t>HiSilicon</w:t>
      </w:r>
      <w:bookmarkEnd w:id="104"/>
      <w:proofErr w:type="spellEnd"/>
      <w:r w:rsidR="000533D5" w:rsidRPr="0005667E">
        <w:rPr>
          <w:lang w:val="en-US"/>
        </w:rPr>
        <w:t>, SA2#127bis, May 2018</w:t>
      </w:r>
    </w:p>
    <w:p w14:paraId="47782467" w14:textId="77777777" w:rsidR="00DF2EF2" w:rsidRPr="0005667E" w:rsidRDefault="00DF2EF2" w:rsidP="00DF2EF2">
      <w:pPr>
        <w:pStyle w:val="Reference"/>
        <w:numPr>
          <w:ilvl w:val="0"/>
          <w:numId w:val="0"/>
        </w:numPr>
        <w:ind w:left="567" w:hanging="567"/>
        <w:rPr>
          <w:lang w:val="en-US"/>
        </w:rPr>
      </w:pPr>
    </w:p>
    <w:bookmarkEnd w:id="99"/>
    <w:bookmarkEnd w:id="100"/>
    <w:p w14:paraId="42E785A2" w14:textId="77777777" w:rsidR="003A7EF3" w:rsidRPr="0005667E" w:rsidRDefault="003A7EF3" w:rsidP="00CE0424">
      <w:pPr>
        <w:pStyle w:val="BodyText"/>
        <w:rPr>
          <w:lang w:val="en-US"/>
        </w:rPr>
      </w:pPr>
    </w:p>
    <w:sectPr w:rsidR="003A7EF3" w:rsidRPr="0005667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94B7" w14:textId="77777777" w:rsidR="0019556A" w:rsidRDefault="0019556A">
      <w:r>
        <w:separator/>
      </w:r>
    </w:p>
  </w:endnote>
  <w:endnote w:type="continuationSeparator" w:id="0">
    <w:p w14:paraId="091D2323" w14:textId="77777777" w:rsidR="0019556A" w:rsidRDefault="0019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4C99F" w14:textId="77777777" w:rsidR="0019556A" w:rsidRDefault="0019556A">
      <w:r>
        <w:separator/>
      </w:r>
    </w:p>
  </w:footnote>
  <w:footnote w:type="continuationSeparator" w:id="0">
    <w:p w14:paraId="55DEC682" w14:textId="77777777" w:rsidR="0019556A" w:rsidRDefault="0019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4"/>
  </w:num>
  <w:num w:numId="24">
    <w:abstractNumId w:val="23"/>
  </w:num>
  <w:num w:numId="25">
    <w:abstractNumId w:val="6"/>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564C"/>
    <w:rsid w:val="00006446"/>
    <w:rsid w:val="00006896"/>
    <w:rsid w:val="00007CDC"/>
    <w:rsid w:val="00011B28"/>
    <w:rsid w:val="00015D15"/>
    <w:rsid w:val="0002564D"/>
    <w:rsid w:val="00025ECA"/>
    <w:rsid w:val="0002656F"/>
    <w:rsid w:val="000325B8"/>
    <w:rsid w:val="00034C15"/>
    <w:rsid w:val="00036BA1"/>
    <w:rsid w:val="000422E2"/>
    <w:rsid w:val="00042F22"/>
    <w:rsid w:val="000444EF"/>
    <w:rsid w:val="00052A07"/>
    <w:rsid w:val="000533D5"/>
    <w:rsid w:val="000534E3"/>
    <w:rsid w:val="0005606A"/>
    <w:rsid w:val="0005667E"/>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DE0"/>
    <w:rsid w:val="000B2719"/>
    <w:rsid w:val="000B3A8F"/>
    <w:rsid w:val="000B4AB9"/>
    <w:rsid w:val="000B58C3"/>
    <w:rsid w:val="000B61E9"/>
    <w:rsid w:val="000C165A"/>
    <w:rsid w:val="000C2E19"/>
    <w:rsid w:val="000D0D07"/>
    <w:rsid w:val="000D33A9"/>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56A"/>
    <w:rsid w:val="00197DF9"/>
    <w:rsid w:val="001A1987"/>
    <w:rsid w:val="001A2564"/>
    <w:rsid w:val="001A6173"/>
    <w:rsid w:val="001A6CBA"/>
    <w:rsid w:val="001B0D97"/>
    <w:rsid w:val="001B5A5D"/>
    <w:rsid w:val="001C1CE5"/>
    <w:rsid w:val="001C3D2A"/>
    <w:rsid w:val="001D21C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9AF"/>
    <w:rsid w:val="002B1B5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A39"/>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7F3"/>
    <w:rsid w:val="003B369F"/>
    <w:rsid w:val="003B36A3"/>
    <w:rsid w:val="003B64BB"/>
    <w:rsid w:val="003B7FE5"/>
    <w:rsid w:val="003C11C8"/>
    <w:rsid w:val="003C2702"/>
    <w:rsid w:val="003C62C9"/>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2ED"/>
    <w:rsid w:val="00437447"/>
    <w:rsid w:val="00441A92"/>
    <w:rsid w:val="004431DC"/>
    <w:rsid w:val="00444F56"/>
    <w:rsid w:val="00446488"/>
    <w:rsid w:val="004517AA"/>
    <w:rsid w:val="00452CAC"/>
    <w:rsid w:val="0045684B"/>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B20"/>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39A"/>
    <w:rsid w:val="005B6F83"/>
    <w:rsid w:val="005C74FB"/>
    <w:rsid w:val="005D1602"/>
    <w:rsid w:val="005E385F"/>
    <w:rsid w:val="005E5B81"/>
    <w:rsid w:val="005F2CB1"/>
    <w:rsid w:val="005F3025"/>
    <w:rsid w:val="005F618C"/>
    <w:rsid w:val="005F70BD"/>
    <w:rsid w:val="0060283C"/>
    <w:rsid w:val="00604F14"/>
    <w:rsid w:val="00606615"/>
    <w:rsid w:val="0061112A"/>
    <w:rsid w:val="00611B83"/>
    <w:rsid w:val="00613257"/>
    <w:rsid w:val="006146EE"/>
    <w:rsid w:val="00620A71"/>
    <w:rsid w:val="00620D80"/>
    <w:rsid w:val="006234A6"/>
    <w:rsid w:val="00630001"/>
    <w:rsid w:val="006311B3"/>
    <w:rsid w:val="0063284C"/>
    <w:rsid w:val="006335F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8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33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38D"/>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105"/>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0B61"/>
    <w:rsid w:val="00B548B7"/>
    <w:rsid w:val="00B56FBB"/>
    <w:rsid w:val="00B63169"/>
    <w:rsid w:val="00B664C7"/>
    <w:rsid w:val="00B739F6"/>
    <w:rsid w:val="00B81A6C"/>
    <w:rsid w:val="00B85DE5"/>
    <w:rsid w:val="00B90F73"/>
    <w:rsid w:val="00B93B59"/>
    <w:rsid w:val="00B9406A"/>
    <w:rsid w:val="00B945B9"/>
    <w:rsid w:val="00BA2280"/>
    <w:rsid w:val="00BA2A08"/>
    <w:rsid w:val="00BA56D2"/>
    <w:rsid w:val="00BA76E0"/>
    <w:rsid w:val="00BB2A25"/>
    <w:rsid w:val="00BB51E9"/>
    <w:rsid w:val="00BB7FA6"/>
    <w:rsid w:val="00BC0FDC"/>
    <w:rsid w:val="00BC3053"/>
    <w:rsid w:val="00BC4D2E"/>
    <w:rsid w:val="00BD48AC"/>
    <w:rsid w:val="00BD5F1A"/>
    <w:rsid w:val="00BE1234"/>
    <w:rsid w:val="00BE2FA6"/>
    <w:rsid w:val="00BE333F"/>
    <w:rsid w:val="00BE5735"/>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28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167"/>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EF2"/>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0C"/>
    <w:rsid w:val="00EA13FC"/>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A1B"/>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C1778"/>
  <w15:chartTrackingRefBased/>
  <w15:docId w15:val="{02E63038-A1A8-4C5A-AFC7-1F2789C1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667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056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67E"/>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numPr>
        <w:numId w:val="3"/>
      </w:numPr>
      <w:tabs>
        <w:tab w:val="clear" w:pos="1304"/>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5NUHHDQN7SK2-1476151046-34403</_dlc_DocId>
    <_dlc_DocIdUrl xmlns="f166a696-7b5b-4ccd-9f0c-ffde0cceec81">
      <Url>https://ericsson.sharepoint.com/sites/star/_layouts/15/DocIdRedir.aspx?ID=5NUHHDQN7SK2-1476151046-34403</Url>
      <Description>5NUHHDQN7SK2-1476151046-34403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2B36A-3879-4E93-A5C0-5E4821240B22}">
  <ds:schemaRefs>
    <ds:schemaRef ds:uri="http://schemas.microsoft.com/sharepoint/v3/contenttype/forms"/>
  </ds:schemaRefs>
</ds:datastoreItem>
</file>

<file path=customXml/itemProps2.xml><?xml version="1.0" encoding="utf-8"?>
<ds:datastoreItem xmlns:ds="http://schemas.openxmlformats.org/officeDocument/2006/customXml" ds:itemID="{FEC8F718-C51E-41DC-B383-DC9617B8AF83}">
  <ds:schemaRefs>
    <ds:schemaRef ds:uri="http://schemas.microsoft.com/sharepoint/events"/>
  </ds:schemaRefs>
</ds:datastoreItem>
</file>

<file path=customXml/itemProps3.xml><?xml version="1.0" encoding="utf-8"?>
<ds:datastoreItem xmlns:ds="http://schemas.openxmlformats.org/officeDocument/2006/customXml" ds:itemID="{4DFDDB56-AC04-4257-81E0-52DE248A7A96}">
  <ds:schemaRefs>
    <ds:schemaRef ds:uri="Microsoft.SharePoint.Taxonomy.ContentTypeSync"/>
  </ds:schemaRefs>
</ds:datastoreItem>
</file>

<file path=customXml/itemProps4.xml><?xml version="1.0" encoding="utf-8"?>
<ds:datastoreItem xmlns:ds="http://schemas.openxmlformats.org/officeDocument/2006/customXml" ds:itemID="{63F84BFD-BCA2-4F60-8F28-CBE3377D2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9FA9CD-D154-4799-9433-80291A3B53EB}">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00FC882E-2982-474A-A22A-77D67B30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2366</Words>
  <Characters>12310</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3GPP; Ericsson; TDoc</cp:keywords>
  <dc:description/>
  <cp:lastModifiedBy>Dung Pham Van</cp:lastModifiedBy>
  <cp:revision>28</cp:revision>
  <cp:lastPrinted>2008-01-31T07:09:00Z</cp:lastPrinted>
  <dcterms:created xsi:type="dcterms:W3CDTF">2018-10-18T13:16:00Z</dcterms:created>
  <dcterms:modified xsi:type="dcterms:W3CDTF">2018-11-01T17:21:00Z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1fa4c7df-e36d-44da-a39c-35c0042fad60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